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eastAsia" w:ascii="宋体" w:hAnsi="宋体" w:eastAsia="宋体" w:cs="宋体"/>
          <w:b/>
          <w:sz w:val="52"/>
          <w:szCs w:val="52"/>
        </w:rPr>
      </w:pPr>
      <w:bookmarkStart w:id="0" w:name="_Toc346701723"/>
      <w:bookmarkStart w:id="1" w:name="_Toc32179"/>
      <w:bookmarkStart w:id="2" w:name="_Toc9553"/>
      <w:bookmarkStart w:id="3" w:name="_Toc346183627"/>
    </w:p>
    <w:p>
      <w:pPr>
        <w:spacing w:line="360" w:lineRule="auto"/>
        <w:jc w:val="center"/>
        <w:rPr>
          <w:rFonts w:hint="eastAsia" w:ascii="宋体" w:hAnsi="宋体" w:eastAsia="宋体" w:cs="宋体"/>
          <w:b/>
          <w:sz w:val="52"/>
          <w:szCs w:val="52"/>
        </w:rPr>
      </w:pPr>
    </w:p>
    <w:p>
      <w:pPr>
        <w:spacing w:line="360" w:lineRule="auto"/>
        <w:jc w:val="center"/>
        <w:rPr>
          <w:rFonts w:hint="eastAsia" w:ascii="宋体" w:hAnsi="宋体" w:cs="宋体"/>
          <w:b/>
          <w:sz w:val="52"/>
          <w:szCs w:val="52"/>
          <w:lang w:eastAsia="zh-CN"/>
        </w:rPr>
      </w:pPr>
      <w:r>
        <w:rPr>
          <w:rFonts w:hint="eastAsia" w:ascii="宋体" w:hAnsi="宋体" w:eastAsia="宋体" w:cs="宋体"/>
          <w:b/>
          <w:sz w:val="52"/>
          <w:szCs w:val="52"/>
        </w:rPr>
        <w:t>四川省</w:t>
      </w:r>
      <w:r>
        <w:rPr>
          <w:rFonts w:hint="eastAsia" w:ascii="宋体" w:hAnsi="宋体" w:cs="宋体"/>
          <w:b/>
          <w:sz w:val="52"/>
          <w:szCs w:val="52"/>
          <w:lang w:val="en-US" w:eastAsia="zh-CN"/>
        </w:rPr>
        <w:t>工程建设项目招标代理机构</w:t>
      </w:r>
      <w:r>
        <w:rPr>
          <w:rFonts w:hint="eastAsia" w:ascii="宋体" w:hAnsi="宋体" w:eastAsia="宋体" w:cs="宋体"/>
          <w:b/>
          <w:sz w:val="52"/>
          <w:szCs w:val="52"/>
        </w:rPr>
        <w:t>比选系统</w:t>
      </w:r>
      <w:r>
        <w:rPr>
          <w:rFonts w:hint="eastAsia" w:ascii="宋体" w:hAnsi="宋体" w:cs="宋体"/>
          <w:b/>
          <w:sz w:val="52"/>
          <w:szCs w:val="52"/>
          <w:lang w:eastAsia="zh-CN"/>
        </w:rPr>
        <w:t>（</w:t>
      </w:r>
      <w:r>
        <w:rPr>
          <w:rFonts w:hint="eastAsia" w:ascii="宋体" w:hAnsi="宋体" w:eastAsia="宋体" w:cs="宋体"/>
          <w:b/>
          <w:sz w:val="52"/>
          <w:szCs w:val="52"/>
          <w:lang w:val="en-US" w:eastAsia="zh-CN"/>
        </w:rPr>
        <w:t>比选</w:t>
      </w:r>
      <w:r>
        <w:rPr>
          <w:rFonts w:hint="eastAsia" w:ascii="宋体" w:hAnsi="宋体" w:cs="宋体"/>
          <w:b/>
          <w:sz w:val="52"/>
          <w:szCs w:val="52"/>
          <w:lang w:val="en-US" w:eastAsia="zh-CN"/>
        </w:rPr>
        <w:t>申请</w:t>
      </w:r>
      <w:r>
        <w:rPr>
          <w:rFonts w:hint="eastAsia" w:ascii="宋体" w:hAnsi="宋体" w:eastAsia="宋体" w:cs="宋体"/>
          <w:b/>
          <w:sz w:val="52"/>
          <w:szCs w:val="52"/>
          <w:lang w:val="en-US" w:eastAsia="zh-CN"/>
        </w:rPr>
        <w:t>人</w:t>
      </w:r>
      <w:r>
        <w:rPr>
          <w:rFonts w:hint="eastAsia" w:ascii="宋体" w:hAnsi="宋体" w:cs="宋体"/>
          <w:b/>
          <w:sz w:val="52"/>
          <w:szCs w:val="52"/>
          <w:lang w:eastAsia="zh-CN"/>
        </w:rPr>
        <w:t>）</w:t>
      </w:r>
    </w:p>
    <w:p>
      <w:pPr>
        <w:pStyle w:val="2"/>
        <w:rPr>
          <w:rFonts w:hint="eastAsia" w:ascii="宋体" w:hAnsi="宋体" w:cs="宋体"/>
          <w:b/>
          <w:sz w:val="52"/>
          <w:szCs w:val="52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spacing w:line="360" w:lineRule="auto"/>
        <w:jc w:val="center"/>
        <w:rPr>
          <w:rFonts w:hint="eastAsia" w:ascii="宋体" w:hAnsi="宋体" w:eastAsia="宋体" w:cs="宋体"/>
          <w:b/>
          <w:sz w:val="72"/>
          <w:szCs w:val="72"/>
        </w:rPr>
      </w:pPr>
      <w:r>
        <w:rPr>
          <w:rFonts w:hint="eastAsia" w:ascii="宋体" w:hAnsi="宋体" w:eastAsia="宋体" w:cs="宋体"/>
          <w:b/>
          <w:sz w:val="72"/>
          <w:szCs w:val="72"/>
        </w:rPr>
        <w:t>操</w:t>
      </w:r>
    </w:p>
    <w:p>
      <w:pPr>
        <w:pStyle w:val="2"/>
        <w:rPr>
          <w:rFonts w:hint="eastAsia"/>
        </w:rPr>
      </w:pPr>
    </w:p>
    <w:p>
      <w:pPr>
        <w:spacing w:line="360" w:lineRule="auto"/>
        <w:jc w:val="center"/>
        <w:rPr>
          <w:rFonts w:hint="eastAsia" w:ascii="宋体" w:hAnsi="宋体" w:eastAsia="宋体" w:cs="宋体"/>
          <w:b/>
          <w:sz w:val="72"/>
          <w:szCs w:val="72"/>
        </w:rPr>
      </w:pPr>
      <w:r>
        <w:rPr>
          <w:rFonts w:hint="eastAsia" w:ascii="宋体" w:hAnsi="宋体" w:eastAsia="宋体" w:cs="宋体"/>
          <w:b/>
          <w:sz w:val="72"/>
          <w:szCs w:val="72"/>
        </w:rPr>
        <w:t>作</w:t>
      </w:r>
    </w:p>
    <w:p>
      <w:pPr>
        <w:pStyle w:val="2"/>
        <w:rPr>
          <w:rFonts w:hint="eastAsia"/>
        </w:rPr>
      </w:pPr>
    </w:p>
    <w:p>
      <w:pPr>
        <w:spacing w:line="360" w:lineRule="auto"/>
        <w:jc w:val="center"/>
        <w:rPr>
          <w:rFonts w:hint="eastAsia" w:ascii="宋体" w:hAnsi="宋体" w:eastAsia="宋体" w:cs="宋体"/>
          <w:b/>
          <w:sz w:val="72"/>
          <w:szCs w:val="72"/>
        </w:rPr>
      </w:pPr>
      <w:r>
        <w:rPr>
          <w:rFonts w:hint="eastAsia" w:ascii="宋体" w:hAnsi="宋体" w:eastAsia="宋体" w:cs="宋体"/>
          <w:b/>
          <w:sz w:val="72"/>
          <w:szCs w:val="72"/>
        </w:rPr>
        <w:t>手</w:t>
      </w:r>
    </w:p>
    <w:p>
      <w:pPr>
        <w:pStyle w:val="2"/>
        <w:rPr>
          <w:rFonts w:hint="eastAsia"/>
        </w:rPr>
      </w:pPr>
    </w:p>
    <w:p>
      <w:pPr>
        <w:spacing w:line="360" w:lineRule="auto"/>
        <w:jc w:val="center"/>
        <w:rPr>
          <w:rFonts w:hint="eastAsia" w:ascii="宋体" w:hAnsi="宋体" w:cs="宋体"/>
          <w:b/>
          <w:sz w:val="52"/>
          <w:szCs w:val="52"/>
          <w:lang w:val="en-US" w:eastAsia="zh-CN"/>
        </w:rPr>
      </w:pPr>
      <w:r>
        <w:rPr>
          <w:rFonts w:hint="eastAsia" w:ascii="宋体" w:hAnsi="宋体" w:eastAsia="宋体" w:cs="宋体"/>
          <w:b/>
          <w:sz w:val="72"/>
          <w:szCs w:val="72"/>
        </w:rPr>
        <w:t>册</w:t>
      </w:r>
      <w:r>
        <w:rPr>
          <w:rFonts w:hint="eastAsia" w:ascii="宋体" w:hAnsi="宋体" w:cs="宋体"/>
          <w:b/>
          <w:sz w:val="72"/>
          <w:szCs w:val="72"/>
          <w:lang w:val="en-US" w:eastAsia="zh-CN"/>
        </w:rPr>
        <w:t xml:space="preserve">   </w:t>
      </w:r>
    </w:p>
    <w:p>
      <w:pPr>
        <w:pStyle w:val="2"/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pStyle w:val="2"/>
        <w:jc w:val="center"/>
        <w:rPr>
          <w:rFonts w:hint="default" w:ascii="宋体" w:hAnsi="宋体" w:eastAsia="宋体" w:cs="宋体"/>
          <w:b w:val="0"/>
          <w:bCs/>
          <w:sz w:val="36"/>
          <w:szCs w:val="36"/>
          <w:lang w:val="en-US" w:eastAsia="zh-CN"/>
        </w:rPr>
      </w:pPr>
      <w:r>
        <w:rPr>
          <w:rFonts w:hint="default" w:ascii="宋体" w:hAnsi="宋体" w:eastAsia="宋体" w:cs="宋体"/>
          <w:b w:val="0"/>
          <w:bCs/>
          <w:sz w:val="36"/>
          <w:szCs w:val="36"/>
          <w:lang w:val="en-US" w:eastAsia="zh-CN"/>
        </w:rPr>
        <w:t>四川省政府政务服务和公共资源交易服务中心</w:t>
      </w:r>
      <w:r>
        <w:rPr>
          <w:rFonts w:hint="eastAsia" w:ascii="宋体" w:hAnsi="宋体" w:cs="宋体"/>
          <w:b w:val="0"/>
          <w:bCs/>
          <w:sz w:val="36"/>
          <w:szCs w:val="36"/>
          <w:lang w:val="en-US" w:eastAsia="zh-CN"/>
        </w:rPr>
        <w:t xml:space="preserve"> 制</w:t>
      </w:r>
    </w:p>
    <w:p>
      <w:pPr>
        <w:pStyle w:val="2"/>
        <w:jc w:val="center"/>
        <w:rPr>
          <w:rFonts w:hint="default" w:ascii="宋体" w:hAnsi="宋体" w:eastAsia="宋体" w:cs="宋体"/>
          <w:b w:val="0"/>
          <w:bCs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36"/>
          <w:szCs w:val="36"/>
          <w:lang w:val="en-US" w:eastAsia="zh-CN"/>
        </w:rPr>
        <w:t>2020年7月</w:t>
      </w:r>
    </w:p>
    <w:p>
      <w:pPr>
        <w:pStyle w:val="3"/>
        <w:numPr>
          <w:ilvl w:val="0"/>
          <w:numId w:val="0"/>
        </w:numPr>
        <w:bidi w:val="0"/>
        <w:ind w:leftChars="0"/>
        <w:rPr>
          <w:rFonts w:hint="eastAsia" w:ascii="宋体" w:hAnsi="宋体" w:eastAsia="宋体" w:cs="宋体"/>
          <w:sz w:val="28"/>
          <w:szCs w:val="28"/>
        </w:rPr>
        <w:sectPr>
          <w:headerReference r:id="rId3" w:type="default"/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pPr>
        <w:pStyle w:val="3"/>
        <w:bidi w:val="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系统前期准备</w:t>
      </w:r>
      <w:bookmarkEnd w:id="0"/>
      <w:bookmarkEnd w:id="1"/>
      <w:bookmarkEnd w:id="2"/>
      <w:bookmarkEnd w:id="3"/>
    </w:p>
    <w:p>
      <w:pPr>
        <w:keepNext/>
        <w:keepLines/>
        <w:widowControl w:val="0"/>
        <w:numPr>
          <w:ilvl w:val="1"/>
          <w:numId w:val="2"/>
        </w:numPr>
        <w:spacing w:before="120" w:after="120" w:line="360" w:lineRule="auto"/>
        <w:ind w:left="0" w:firstLine="0"/>
        <w:jc w:val="both"/>
        <w:outlineLvl w:val="1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bookmarkStart w:id="4" w:name="_Toc346701735"/>
      <w:bookmarkStart w:id="5" w:name="_Toc2274"/>
      <w:bookmarkStart w:id="6" w:name="_Toc346183639"/>
      <w:bookmarkStart w:id="7" w:name="_Toc7170"/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浏览器配置</w:t>
      </w:r>
      <w:bookmarkEnd w:id="4"/>
      <w:bookmarkEnd w:id="5"/>
      <w:bookmarkEnd w:id="6"/>
      <w:bookmarkEnd w:id="7"/>
    </w:p>
    <w:p>
      <w:pPr>
        <w:keepNext/>
        <w:keepLines/>
        <w:widowControl w:val="0"/>
        <w:numPr>
          <w:ilvl w:val="2"/>
          <w:numId w:val="2"/>
        </w:numPr>
        <w:spacing w:before="120" w:after="120" w:line="360" w:lineRule="auto"/>
        <w:ind w:left="1072" w:hanging="1072"/>
        <w:jc w:val="both"/>
        <w:outlineLvl w:val="2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bookmarkStart w:id="8" w:name="_Toc346701736"/>
      <w:bookmarkStart w:id="9" w:name="_Toc346183640"/>
      <w:bookmarkStart w:id="10" w:name="_Toc31713"/>
      <w:bookmarkStart w:id="11" w:name="_Toc31565"/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Internet选项</w:t>
      </w:r>
      <w:bookmarkEnd w:id="8"/>
      <w:bookmarkEnd w:id="9"/>
      <w:bookmarkEnd w:id="10"/>
      <w:bookmarkEnd w:id="11"/>
    </w:p>
    <w:p>
      <w:pPr>
        <w:spacing w:line="360" w:lineRule="auto"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为了让系统插件能够正常工作，请按照以下步骤进行浏览器的配置。</w:t>
      </w:r>
    </w:p>
    <w:p>
      <w:pPr>
        <w:spacing w:line="360" w:lineRule="auto"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1、打开浏览器，在“工具”菜单→“Internet选项”，如下图：</w:t>
      </w:r>
    </w:p>
    <w:p>
      <w:pPr>
        <w:spacing w:line="360" w:lineRule="auto"/>
        <w:jc w:val="center"/>
        <w:rPr>
          <w:rFonts w:hint="eastAsia" w:ascii="宋体" w:hAnsi="宋体" w:eastAsia="宋体" w:cs="宋体"/>
          <w:spacing w:val="4"/>
          <w:sz w:val="28"/>
          <w:szCs w:val="28"/>
        </w:rPr>
      </w:pPr>
      <w:r>
        <w:rPr>
          <w:rFonts w:hint="eastAsia" w:ascii="宋体" w:hAnsi="宋体" w:eastAsia="宋体" w:cs="宋体"/>
          <w:spacing w:val="4"/>
          <w:sz w:val="28"/>
          <w:szCs w:val="28"/>
        </w:rPr>
        <w:drawing>
          <wp:inline distT="0" distB="0" distL="114300" distR="114300">
            <wp:extent cx="3561715" cy="3152775"/>
            <wp:effectExtent l="0" t="0" r="4445" b="1905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61715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2、弹出对话框之后，请选择“安全”选项卡，具体的界面如下图：</w:t>
      </w:r>
    </w:p>
    <w:p>
      <w:pPr>
        <w:spacing w:line="360" w:lineRule="auto"/>
        <w:jc w:val="center"/>
        <w:rPr>
          <w:rFonts w:hint="eastAsia" w:ascii="宋体" w:hAnsi="宋体" w:eastAsia="宋体" w:cs="宋体"/>
          <w:spacing w:val="4"/>
          <w:sz w:val="28"/>
          <w:szCs w:val="28"/>
        </w:rPr>
      </w:pPr>
      <w:r>
        <w:rPr>
          <w:rFonts w:hint="eastAsia" w:ascii="宋体" w:hAnsi="宋体" w:eastAsia="宋体" w:cs="宋体"/>
          <w:spacing w:val="4"/>
          <w:sz w:val="28"/>
          <w:szCs w:val="28"/>
        </w:rPr>
        <w:drawing>
          <wp:inline distT="0" distB="0" distL="114300" distR="114300">
            <wp:extent cx="2914650" cy="3476625"/>
            <wp:effectExtent l="0" t="0" r="11430" b="1333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3、点击绿色的“受信任的站点”的图片，会看到如下图所示的界面：</w:t>
      </w:r>
    </w:p>
    <w:p>
      <w:pPr>
        <w:spacing w:line="360" w:lineRule="auto"/>
        <w:jc w:val="center"/>
        <w:rPr>
          <w:rFonts w:hint="eastAsia" w:ascii="宋体" w:hAnsi="宋体" w:eastAsia="宋体" w:cs="宋体"/>
          <w:spacing w:val="4"/>
          <w:sz w:val="28"/>
          <w:szCs w:val="28"/>
        </w:rPr>
      </w:pPr>
      <w:r>
        <w:rPr>
          <w:rFonts w:hint="eastAsia" w:ascii="宋体" w:hAnsi="宋体" w:eastAsia="宋体" w:cs="宋体"/>
          <w:spacing w:val="4"/>
          <w:sz w:val="28"/>
          <w:szCs w:val="28"/>
        </w:rPr>
        <w:drawing>
          <wp:inline distT="0" distB="0" distL="114300" distR="114300">
            <wp:extent cx="3638550" cy="3971925"/>
            <wp:effectExtent l="0" t="0" r="3810" b="571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38550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4、点击“站点” 按钮，出现如下对话框：</w:t>
      </w:r>
    </w:p>
    <w:p>
      <w:pPr>
        <w:spacing w:line="360" w:lineRule="auto"/>
        <w:jc w:val="center"/>
        <w:rPr>
          <w:rFonts w:hint="eastAsia" w:ascii="宋体" w:hAnsi="宋体" w:eastAsia="宋体" w:cs="宋体"/>
          <w:spacing w:val="4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4297680" cy="5265420"/>
            <wp:effectExtent l="0" t="0" r="0" b="762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97680" cy="5265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把会员端的地址添加进去，再按“关闭”按钮退出。</w:t>
      </w:r>
    </w:p>
    <w:p>
      <w:pPr>
        <w:spacing w:line="360" w:lineRule="auto"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5、设置自定义安全级别，开放Activex的访问权限：</w:t>
      </w:r>
    </w:p>
    <w:p>
      <w:pPr>
        <w:spacing w:line="360" w:lineRule="auto"/>
        <w:jc w:val="center"/>
        <w:rPr>
          <w:rFonts w:hint="eastAsia" w:ascii="宋体" w:hAnsi="宋体" w:eastAsia="宋体" w:cs="宋体"/>
          <w:spacing w:val="4"/>
          <w:sz w:val="28"/>
          <w:szCs w:val="28"/>
        </w:rPr>
      </w:pPr>
      <w:r>
        <w:rPr>
          <w:rFonts w:hint="eastAsia" w:ascii="宋体" w:hAnsi="宋体" w:eastAsia="宋体" w:cs="宋体"/>
          <w:spacing w:val="4"/>
          <w:sz w:val="28"/>
          <w:szCs w:val="28"/>
        </w:rPr>
        <w:drawing>
          <wp:inline distT="0" distB="0" distL="114300" distR="114300">
            <wp:extent cx="3543300" cy="4200525"/>
            <wp:effectExtent l="0" t="0" r="7620" b="5715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会出现一个窗口，把其中的Activex控件和插件的设置全部改为启用。</w:t>
      </w:r>
    </w:p>
    <w:p>
      <w:pPr>
        <w:spacing w:line="360" w:lineRule="auto"/>
        <w:jc w:val="center"/>
        <w:rPr>
          <w:rFonts w:hint="eastAsia" w:ascii="宋体" w:hAnsi="宋体" w:eastAsia="宋体" w:cs="宋体"/>
          <w:spacing w:val="4"/>
          <w:sz w:val="28"/>
          <w:szCs w:val="28"/>
        </w:rPr>
      </w:pPr>
      <w:r>
        <w:rPr>
          <w:rFonts w:hint="eastAsia" w:ascii="宋体" w:hAnsi="宋体" w:eastAsia="宋体" w:cs="宋体"/>
          <w:spacing w:val="4"/>
          <w:sz w:val="28"/>
          <w:szCs w:val="28"/>
        </w:rPr>
        <w:drawing>
          <wp:inline distT="0" distB="0" distL="114300" distR="114300">
            <wp:extent cx="4114800" cy="3829050"/>
            <wp:effectExtent l="0" t="0" r="0" b="11430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382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文件下载设置，开放文件下载的权限：设置为启用。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4"/>
          <w:sz w:val="28"/>
          <w:szCs w:val="28"/>
        </w:rPr>
        <w:drawing>
          <wp:inline distT="0" distB="0" distL="114300" distR="114300">
            <wp:extent cx="3524885" cy="3703955"/>
            <wp:effectExtent l="0" t="0" r="10795" b="14605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524885" cy="370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eastAsia="宋体" w:cs="宋体"/>
          <w:sz w:val="28"/>
          <w:szCs w:val="28"/>
        </w:rPr>
      </w:pPr>
    </w:p>
    <w:p>
      <w:pPr>
        <w:keepNext/>
        <w:keepLines/>
        <w:widowControl w:val="0"/>
        <w:numPr>
          <w:ilvl w:val="2"/>
          <w:numId w:val="2"/>
        </w:numPr>
        <w:spacing w:before="120" w:after="120" w:line="360" w:lineRule="auto"/>
        <w:ind w:left="1072" w:hanging="1072"/>
        <w:jc w:val="both"/>
        <w:outlineLvl w:val="2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bookmarkStart w:id="12" w:name="_Toc346183641"/>
      <w:bookmarkStart w:id="13" w:name="_Toc346701737"/>
      <w:bookmarkStart w:id="14" w:name="_Toc11260"/>
      <w:bookmarkStart w:id="15" w:name="_Toc23160"/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关闭拦截工具</w:t>
      </w:r>
      <w:bookmarkEnd w:id="12"/>
      <w:bookmarkEnd w:id="13"/>
      <w:bookmarkEnd w:id="14"/>
      <w:bookmarkEnd w:id="15"/>
    </w:p>
    <w:p>
      <w:pPr>
        <w:spacing w:line="360" w:lineRule="auto"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上述操作完成后，如果系统中某些功能仍不能使用，请将拦截工具关闭再试用。比如在windows工具栏中关闭弹出窗口阻止程序的操作：</w:t>
      </w:r>
    </w:p>
    <w:p>
      <w:pPr>
        <w:pStyle w:val="6"/>
        <w:spacing w:line="360" w:lineRule="auto"/>
        <w:ind w:firstLine="0" w:firstLineChars="0"/>
        <w:jc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095875" cy="2324100"/>
            <wp:effectExtent l="0" t="0" r="9525" b="7620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pStyle w:val="3"/>
        <w:tabs>
          <w:tab w:val="left" w:pos="425"/>
        </w:tabs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注册</w:t>
      </w:r>
    </w:p>
    <w:p>
      <w:pPr>
        <w:pStyle w:val="18"/>
        <w:keepNext/>
        <w:keepLines/>
        <w:numPr>
          <w:ilvl w:val="0"/>
          <w:numId w:val="3"/>
        </w:numPr>
        <w:tabs>
          <w:tab w:val="left" w:pos="425"/>
        </w:tabs>
        <w:spacing w:before="120" w:after="120"/>
        <w:ind w:firstLineChars="0"/>
        <w:jc w:val="both"/>
        <w:outlineLvl w:val="0"/>
        <w:rPr>
          <w:rFonts w:hint="eastAsia" w:ascii="宋体" w:hAnsi="宋体" w:eastAsia="宋体" w:cs="宋体"/>
          <w:b/>
          <w:bCs/>
          <w:vanish/>
          <w:kern w:val="44"/>
          <w:sz w:val="28"/>
          <w:szCs w:val="28"/>
        </w:rPr>
      </w:pPr>
    </w:p>
    <w:p>
      <w:pPr>
        <w:pStyle w:val="4"/>
        <w:tabs>
          <w:tab w:val="left" w:pos="567"/>
        </w:tabs>
        <w:rPr>
          <w:rFonts w:hint="eastAsia" w:ascii="宋体" w:hAnsi="宋体" w:eastAsia="宋体" w:cs="宋体"/>
          <w:sz w:val="28"/>
          <w:szCs w:val="28"/>
        </w:rPr>
      </w:pPr>
      <w:bookmarkStart w:id="16" w:name="_Toc10654"/>
      <w:r>
        <w:rPr>
          <w:rFonts w:hint="eastAsia" w:ascii="宋体" w:hAnsi="宋体" w:eastAsia="宋体" w:cs="宋体"/>
          <w:sz w:val="28"/>
          <w:szCs w:val="28"/>
        </w:rPr>
        <w:t>注册账号</w:t>
      </w:r>
      <w:bookmarkEnd w:id="16"/>
    </w:p>
    <w:p>
      <w:pPr>
        <w:pStyle w:val="6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系统地址：</w:t>
      </w:r>
      <w:r>
        <w:rPr>
          <w:rFonts w:hint="eastAsia" w:ascii="宋体" w:hAnsi="宋体" w:eastAsia="宋体" w:cs="宋体"/>
          <w:sz w:val="28"/>
          <w:szCs w:val="28"/>
        </w:rPr>
        <w:fldChar w:fldCharType="begin"/>
      </w:r>
      <w:r>
        <w:rPr>
          <w:rFonts w:hint="eastAsia" w:ascii="宋体" w:hAnsi="宋体" w:eastAsia="宋体" w:cs="宋体"/>
          <w:sz w:val="28"/>
          <w:szCs w:val="28"/>
        </w:rPr>
        <w:instrText xml:space="preserve"> HYPERLINK "http://ggzyjy.sc.gov.cn/" </w:instrText>
      </w:r>
      <w:r>
        <w:rPr>
          <w:rFonts w:hint="eastAsia" w:ascii="宋体" w:hAnsi="宋体" w:eastAsia="宋体" w:cs="宋体"/>
          <w:sz w:val="28"/>
          <w:szCs w:val="28"/>
        </w:rPr>
        <w:fldChar w:fldCharType="separate"/>
      </w:r>
      <w:r>
        <w:rPr>
          <w:rStyle w:val="14"/>
          <w:rFonts w:hint="eastAsia" w:ascii="宋体" w:hAnsi="宋体" w:eastAsia="宋体" w:cs="宋体"/>
          <w:sz w:val="28"/>
          <w:szCs w:val="28"/>
        </w:rPr>
        <w:t>http://ggzyjy.sc.gov.cn/</w:t>
      </w:r>
      <w:r>
        <w:rPr>
          <w:rFonts w:hint="eastAsia" w:ascii="宋体" w:hAnsi="宋体" w:eastAsia="宋体" w:cs="宋体"/>
          <w:sz w:val="28"/>
          <w:szCs w:val="28"/>
        </w:rPr>
        <w:fldChar w:fldCharType="end"/>
      </w:r>
    </w:p>
    <w:p>
      <w:pPr>
        <w:pStyle w:val="6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9230" cy="2962910"/>
            <wp:effectExtent l="0" t="0" r="7620" b="8890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ind w:firstLine="0" w:firstLineChars="0"/>
        <w:rPr>
          <w:rFonts w:hint="eastAsia" w:ascii="宋体" w:hAnsi="宋体" w:eastAsia="宋体" w:cs="宋体"/>
          <w:sz w:val="28"/>
          <w:szCs w:val="28"/>
        </w:rPr>
      </w:pPr>
    </w:p>
    <w:p>
      <w:pPr>
        <w:pStyle w:val="6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招标代理</w:t>
      </w:r>
      <w:r>
        <w:rPr>
          <w:rFonts w:hint="eastAsia" w:ascii="宋体" w:hAnsi="宋体" w:eastAsia="宋体" w:cs="宋体"/>
          <w:sz w:val="28"/>
          <w:szCs w:val="28"/>
        </w:rPr>
        <w:t>在网上进行注册，获取注册账号，然后登录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全国公共资源交易平台（四川省）</w:t>
      </w:r>
      <w:r>
        <w:rPr>
          <w:rFonts w:hint="eastAsia" w:ascii="宋体" w:hAnsi="宋体" w:eastAsia="宋体" w:cs="宋体"/>
          <w:sz w:val="28"/>
          <w:szCs w:val="28"/>
        </w:rPr>
        <w:t>，维护单位信息，提交中心验证。</w:t>
      </w:r>
    </w:p>
    <w:p>
      <w:pPr>
        <w:pStyle w:val="6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</w:p>
    <w:p>
      <w:pPr>
        <w:pStyle w:val="6"/>
        <w:ind w:firstLine="0" w:firstLineChars="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72405" cy="3345180"/>
            <wp:effectExtent l="0" t="0" r="635" b="7620"/>
            <wp:docPr id="4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34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ind w:right="101" w:rightChars="42"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在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全国公共资源交易平台（四川省）</w:t>
      </w:r>
      <w:r>
        <w:rPr>
          <w:rFonts w:hint="eastAsia" w:ascii="宋体" w:hAnsi="宋体" w:eastAsia="宋体" w:cs="宋体"/>
          <w:sz w:val="28"/>
          <w:szCs w:val="28"/>
        </w:rPr>
        <w:t>界面，点击“免费注册”，如下图：</w:t>
      </w:r>
    </w:p>
    <w:p>
      <w:pPr>
        <w:pStyle w:val="6"/>
        <w:ind w:firstLine="0" w:firstLineChars="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73675" cy="2254250"/>
            <wp:effectExtent l="0" t="0" r="14605" b="1270"/>
            <wp:docPr id="4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25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ind w:right="101" w:rightChars="42"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仔细阅读协议，点“同意”按钮继续，如下图：</w:t>
      </w:r>
    </w:p>
    <w:p>
      <w:pPr>
        <w:pStyle w:val="6"/>
        <w:ind w:firstLine="0" w:firstLineChars="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71135" cy="3216275"/>
            <wp:effectExtent l="0" t="0" r="1905" b="14605"/>
            <wp:docPr id="4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21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输入登录名、密码等基本信息，如果该登录名已被注册过，必须更换登录名，选择“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主体</w:t>
      </w:r>
      <w:r>
        <w:rPr>
          <w:rFonts w:hint="eastAsia" w:ascii="宋体" w:hAnsi="宋体" w:eastAsia="宋体" w:cs="宋体"/>
          <w:sz w:val="28"/>
          <w:szCs w:val="28"/>
        </w:rPr>
        <w:t>类型”为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招标代理</w:t>
      </w:r>
      <w:r>
        <w:rPr>
          <w:rFonts w:hint="eastAsia" w:ascii="宋体" w:hAnsi="宋体" w:eastAsia="宋体" w:cs="宋体"/>
          <w:sz w:val="28"/>
          <w:szCs w:val="28"/>
        </w:rPr>
        <w:t>，输入验证码之后，点击“确认”按钮。</w:t>
      </w:r>
    </w:p>
    <w:p>
      <w:pPr>
        <w:pStyle w:val="6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</w:p>
    <w:p>
      <w:pPr>
        <w:pStyle w:val="6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73675" cy="3509010"/>
            <wp:effectExtent l="0" t="0" r="14605" b="11430"/>
            <wp:docPr id="4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50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9230" cy="2602865"/>
            <wp:effectExtent l="0" t="0" r="3810" b="3175"/>
            <wp:docPr id="50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602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ind w:firstLine="0" w:firstLineChars="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78120" cy="2598420"/>
            <wp:effectExtent l="0" t="0" r="10160" b="7620"/>
            <wp:docPr id="4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59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ind w:firstLine="0" w:firstLineChars="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点击确定后，登陆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全国公共资源交易平台（四川省）</w:t>
      </w:r>
      <w:r>
        <w:rPr>
          <w:rFonts w:hint="eastAsia" w:ascii="宋体" w:hAnsi="宋体" w:eastAsia="宋体" w:cs="宋体"/>
          <w:sz w:val="28"/>
          <w:szCs w:val="28"/>
        </w:rPr>
        <w:t>，此时的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单位信息</w:t>
      </w:r>
      <w:r>
        <w:rPr>
          <w:rFonts w:hint="eastAsia" w:ascii="宋体" w:hAnsi="宋体" w:eastAsia="宋体" w:cs="宋体"/>
          <w:sz w:val="28"/>
          <w:szCs w:val="28"/>
        </w:rPr>
        <w:t>状态为临时库，需要完善单位的基本信息才能进行业务操作</w:t>
      </w:r>
    </w:p>
    <w:p>
      <w:pPr>
        <w:pStyle w:val="2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4994910" cy="2174240"/>
            <wp:effectExtent l="0" t="0" r="3810" b="5080"/>
            <wp:docPr id="51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994910" cy="2174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点击“修改信息”按钮之后页面如下：</w:t>
      </w:r>
    </w:p>
    <w:p>
      <w:pPr>
        <w:ind w:firstLine="42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4836160" cy="2093595"/>
            <wp:effectExtent l="0" t="0" r="10160" b="9525"/>
            <wp:docPr id="54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2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836160" cy="209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填写页面上法人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名称</w:t>
      </w:r>
      <w:r>
        <w:rPr>
          <w:rFonts w:hint="eastAsia" w:ascii="宋体" w:hAnsi="宋体" w:eastAsia="宋体" w:cs="宋体"/>
          <w:sz w:val="28"/>
          <w:szCs w:val="28"/>
        </w:rPr>
        <w:t>、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法人代码、营业执照号码、</w:t>
      </w:r>
      <w:r>
        <w:rPr>
          <w:rFonts w:hint="eastAsia" w:ascii="宋体" w:hAnsi="宋体" w:eastAsia="宋体" w:cs="宋体"/>
          <w:sz w:val="28"/>
          <w:szCs w:val="28"/>
        </w:rPr>
        <w:t>联系电话等信息。点击“修改保存”按钮，基本信息处于“编辑”中状态，可再次修改。</w:t>
      </w:r>
    </w:p>
    <w:p>
      <w:pPr>
        <w:pStyle w:val="19"/>
        <w:ind w:firstLine="565" w:firstLineChars="202"/>
        <w:rPr>
          <w:rFonts w:hint="eastAsia" w:ascii="宋体" w:hAnsi="宋体" w:eastAsia="宋体" w:cs="宋体"/>
          <w:color w:val="FF0000"/>
          <w:sz w:val="28"/>
          <w:szCs w:val="28"/>
        </w:rPr>
      </w:pPr>
      <w:r>
        <w:rPr>
          <w:rFonts w:hint="eastAsia" w:ascii="宋体" w:hAnsi="宋体" w:eastAsia="宋体" w:cs="宋体"/>
          <w:color w:val="FF0000"/>
          <w:sz w:val="28"/>
          <w:szCs w:val="28"/>
        </w:rPr>
        <w:t>注：</w:t>
      </w:r>
    </w:p>
    <w:p>
      <w:pPr>
        <w:pStyle w:val="19"/>
        <w:ind w:firstLine="562" w:firstLineChars="201"/>
        <w:rPr>
          <w:rFonts w:hint="eastAsia" w:ascii="宋体" w:hAnsi="宋体" w:eastAsia="宋体" w:cs="宋体"/>
          <w:color w:val="FF0000"/>
          <w:sz w:val="28"/>
          <w:szCs w:val="28"/>
        </w:rPr>
      </w:pPr>
      <w:r>
        <w:rPr>
          <w:rFonts w:hint="eastAsia" w:ascii="宋体" w:hAnsi="宋体" w:eastAsia="宋体" w:cs="宋体"/>
          <w:color w:val="FF0000"/>
          <w:sz w:val="28"/>
          <w:szCs w:val="28"/>
        </w:rPr>
        <w:t>①带*号的为必填项。</w:t>
      </w:r>
    </w:p>
    <w:p>
      <w:pPr>
        <w:pStyle w:val="20"/>
        <w:ind w:firstLine="565" w:firstLineChars="202"/>
        <w:rPr>
          <w:rFonts w:hint="eastAsia" w:ascii="宋体" w:hAnsi="宋体" w:eastAsia="宋体" w:cs="宋体"/>
          <w:color w:val="FF0000"/>
          <w:sz w:val="28"/>
          <w:szCs w:val="28"/>
        </w:rPr>
      </w:pPr>
      <w:r>
        <w:rPr>
          <w:rFonts w:hint="eastAsia" w:ascii="宋体" w:hAnsi="宋体" w:eastAsia="宋体" w:cs="宋体"/>
          <w:color w:val="FF0000"/>
          <w:sz w:val="28"/>
          <w:szCs w:val="28"/>
        </w:rPr>
        <w:t>②“</w:t>
      </w:r>
      <w:r>
        <w:rPr>
          <w:rFonts w:hint="eastAsia" w:ascii="宋体" w:hAnsi="宋体" w:eastAsia="宋体" w:cs="宋体"/>
          <w:color w:val="FF0000"/>
          <w:sz w:val="28"/>
          <w:szCs w:val="28"/>
          <w:lang w:val="en-US" w:eastAsia="zh-CN"/>
        </w:rPr>
        <w:t>营业执照号码</w:t>
      </w:r>
      <w:r>
        <w:rPr>
          <w:rFonts w:hint="eastAsia" w:ascii="宋体" w:hAnsi="宋体" w:eastAsia="宋体" w:cs="宋体"/>
          <w:color w:val="FF0000"/>
          <w:sz w:val="28"/>
          <w:szCs w:val="28"/>
        </w:rPr>
        <w:t>”字段判断唯一性。</w:t>
      </w:r>
    </w:p>
    <w:p>
      <w:pPr>
        <w:pStyle w:val="19"/>
        <w:ind w:firstLine="562" w:firstLineChars="201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3、点击“下一步”按钮，进入基本信息查看页面。如下图：</w:t>
      </w:r>
    </w:p>
    <w:p>
      <w:pPr>
        <w:pStyle w:val="19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6690" cy="2306955"/>
            <wp:effectExtent l="0" t="0" r="6350" b="9525"/>
            <wp:docPr id="55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2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0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6690" cy="2331720"/>
            <wp:effectExtent l="0" t="0" r="6350" b="0"/>
            <wp:docPr id="56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2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4"/>
        </w:numPr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点击“提交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信息</w:t>
      </w:r>
      <w:r>
        <w:rPr>
          <w:rFonts w:hint="eastAsia" w:ascii="宋体" w:hAnsi="宋体" w:eastAsia="宋体" w:cs="宋体"/>
          <w:sz w:val="28"/>
          <w:szCs w:val="28"/>
        </w:rPr>
        <w:t>”按钮，基本信息处于“待验证”状态。点击“修改”按钮返回步骤2。</w:t>
      </w:r>
    </w:p>
    <w:p>
      <w:pPr>
        <w:pStyle w:val="2"/>
        <w:rPr>
          <w:rFonts w:hint="eastAsia" w:ascii="宋体" w:hAnsi="宋体" w:eastAsia="宋体" w:cs="宋体"/>
          <w:sz w:val="28"/>
          <w:szCs w:val="28"/>
        </w:rPr>
      </w:pPr>
    </w:p>
    <w:p>
      <w:pPr>
        <w:pStyle w:val="4"/>
        <w:tabs>
          <w:tab w:val="left" w:pos="567"/>
        </w:tabs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bookmarkStart w:id="17" w:name="_Toc6612"/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CA驱动下载</w:t>
      </w:r>
      <w:bookmarkEnd w:id="17"/>
    </w:p>
    <w:p>
      <w:pPr>
        <w:spacing w:line="360" w:lineRule="auto"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下载地址</w:t>
      </w:r>
      <w:r>
        <w:rPr>
          <w:rFonts w:hint="eastAsia" w:ascii="宋体" w:hAnsi="宋体" w:eastAsia="宋体" w:cs="宋体"/>
          <w:sz w:val="28"/>
          <w:szCs w:val="28"/>
        </w:rPr>
        <w:t>：</w:t>
      </w:r>
      <w:r>
        <w:rPr>
          <w:rFonts w:hint="eastAsia" w:ascii="宋体" w:hAnsi="宋体" w:eastAsia="宋体" w:cs="宋体"/>
          <w:sz w:val="28"/>
          <w:szCs w:val="28"/>
        </w:rPr>
        <w:fldChar w:fldCharType="begin"/>
      </w:r>
      <w:r>
        <w:rPr>
          <w:rFonts w:hint="eastAsia" w:ascii="宋体" w:hAnsi="宋体" w:eastAsia="宋体" w:cs="宋体"/>
          <w:sz w:val="28"/>
          <w:szCs w:val="28"/>
        </w:rPr>
        <w:instrText xml:space="preserve"> HYPERLINK "http://ggzyjy.sc.gov.cn/bszn/010002/20190701/9ad48a99-23af-4649-91f6-6a00c11c7546.html" </w:instrText>
      </w:r>
      <w:r>
        <w:rPr>
          <w:rFonts w:hint="eastAsia" w:ascii="宋体" w:hAnsi="宋体" w:eastAsia="宋体" w:cs="宋体"/>
          <w:sz w:val="28"/>
          <w:szCs w:val="28"/>
        </w:rPr>
        <w:fldChar w:fldCharType="separate"/>
      </w:r>
      <w:r>
        <w:rPr>
          <w:rStyle w:val="14"/>
          <w:rFonts w:hint="eastAsia" w:ascii="宋体" w:hAnsi="宋体" w:eastAsia="宋体" w:cs="宋体"/>
          <w:sz w:val="28"/>
          <w:szCs w:val="28"/>
        </w:rPr>
        <w:t>http://ggzyjy.sc.gov.cn/bszn/010002/20190701/9ad48a99-23af-4649-91f6-6a00c11c7546.html</w:t>
      </w:r>
      <w:r>
        <w:rPr>
          <w:rFonts w:hint="eastAsia" w:ascii="宋体" w:hAnsi="宋体" w:eastAsia="宋体" w:cs="宋体"/>
          <w:sz w:val="28"/>
          <w:szCs w:val="28"/>
        </w:rPr>
        <w:fldChar w:fldCharType="end"/>
      </w:r>
    </w:p>
    <w:p>
      <w:pPr>
        <w:widowControl w:val="0"/>
        <w:spacing w:after="120" w:afterLines="0"/>
        <w:jc w:val="both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</w:p>
    <w:p>
      <w:pPr>
        <w:pStyle w:val="4"/>
        <w:tabs>
          <w:tab w:val="left" w:pos="567"/>
        </w:tabs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bookmarkStart w:id="18" w:name="_Toc18818"/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CA检测</w:t>
      </w:r>
      <w:bookmarkEnd w:id="18"/>
    </w:p>
    <w:p>
      <w:pPr>
        <w:pStyle w:val="6"/>
        <w:spacing w:line="360" w:lineRule="auto"/>
        <w:ind w:firstLine="0" w:firstLineChars="0"/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下载安装驱动后，请将需要使用的CA锁插入电脑，运行检测工具进行检测。</w:t>
      </w:r>
    </w:p>
    <w:p>
      <w:pPr>
        <w:pStyle w:val="6"/>
        <w:spacing w:line="360" w:lineRule="auto"/>
        <w:ind w:firstLine="0" w:firstLineChars="0"/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pStyle w:val="6"/>
        <w:spacing w:line="360" w:lineRule="auto"/>
        <w:ind w:firstLine="0" w:firstLineChars="0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71770" cy="3325495"/>
            <wp:effectExtent l="0" t="0" r="5080" b="8255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32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spacing w:line="360" w:lineRule="auto"/>
        <w:ind w:firstLine="0" w:firstLineChars="0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4191000" cy="2857500"/>
            <wp:effectExtent l="0" t="0" r="0" b="0"/>
            <wp:docPr id="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spacing w:line="360" w:lineRule="auto"/>
        <w:ind w:firstLine="0" w:firstLineChars="0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71770" cy="3325495"/>
            <wp:effectExtent l="0" t="0" r="5080" b="8255"/>
            <wp:docPr id="1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32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tabs>
          <w:tab w:val="left" w:pos="567"/>
        </w:tabs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CA办理</w:t>
      </w:r>
    </w:p>
    <w:p>
      <w:pPr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办理链接：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fldChar w:fldCharType="begin"/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instrText xml:space="preserve"> HYPERLINK "http://ggzyjy.sc.gov.cn/PSPBidder/huiyuaninfomis2/pages/huiyuanregister/CAInfoList" </w:instrTex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fldChar w:fldCharType="separate"/>
      </w:r>
      <w:r>
        <w:rPr>
          <w:rStyle w:val="14"/>
          <w:rFonts w:hint="eastAsia" w:ascii="宋体" w:hAnsi="宋体" w:eastAsia="宋体" w:cs="宋体"/>
          <w:sz w:val="28"/>
          <w:szCs w:val="28"/>
          <w:lang w:val="en-US" w:eastAsia="zh-CN"/>
        </w:rPr>
        <w:t>http://ggzyjy.sc.gov.cn/PSPBidder/huiyuaninfomis2/pages/huiyuanregister/CAInfoList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fldChar w:fldCharType="end"/>
      </w:r>
    </w:p>
    <w:p>
      <w:pPr>
        <w:widowControl w:val="0"/>
        <w:spacing w:after="120" w:afterLines="0"/>
        <w:jc w:val="both"/>
        <w:rPr>
          <w:rFonts w:hint="default" w:ascii="宋体" w:hAnsi="宋体" w:eastAsia="宋体" w:cs="宋体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>链接中公示的各类CA锁均纳入全省互联互通，请进入页面后自行选择办理。</w:t>
      </w:r>
      <w:r>
        <w:rPr>
          <w:rFonts w:hint="eastAsia" w:ascii="宋体" w:hAnsi="宋体" w:cs="宋体"/>
          <w:kern w:val="2"/>
          <w:sz w:val="28"/>
          <w:szCs w:val="28"/>
          <w:lang w:val="en-US" w:eastAsia="zh-CN" w:bidi="ar-SA"/>
        </w:rPr>
        <w:t>如果之前有办理过全省互联互通的CA锁，可以不用重复办理，按2.5描述自助激活后即可使用。</w:t>
      </w:r>
    </w:p>
    <w:p>
      <w:pPr>
        <w:pStyle w:val="4"/>
        <w:tabs>
          <w:tab w:val="left" w:pos="567"/>
        </w:tabs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CA自助激活</w:t>
      </w:r>
    </w:p>
    <w:p>
      <w:pPr>
        <w:widowControl w:val="0"/>
        <w:spacing w:after="120" w:afterLines="0"/>
        <w:ind w:firstLine="420" w:firstLineChars="0"/>
        <w:jc w:val="both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>注册</w:t>
      </w:r>
      <w:r>
        <w:rPr>
          <w:rFonts w:hint="eastAsia" w:ascii="宋体" w:hAnsi="宋体" w:cs="宋体"/>
          <w:kern w:val="2"/>
          <w:sz w:val="28"/>
          <w:szCs w:val="28"/>
          <w:lang w:val="en-US" w:eastAsia="zh-CN" w:bidi="ar-SA"/>
        </w:rPr>
        <w:t>完成账号，登录系统，选择【四川省电子招投标公共服务平台】入口，并完善</w:t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>信息</w:t>
      </w:r>
      <w:r>
        <w:rPr>
          <w:rFonts w:hint="eastAsia" w:ascii="宋体" w:hAnsi="宋体" w:cs="宋体"/>
          <w:kern w:val="2"/>
          <w:sz w:val="28"/>
          <w:szCs w:val="28"/>
          <w:lang w:val="en-US" w:eastAsia="zh-CN" w:bidi="ar-SA"/>
        </w:rPr>
        <w:t>，提交自动</w:t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>通过之后，如果已经办理的CA 证书，可以按下图说明进行激活操作，激活后可以直接通过CA证书登录系统。</w:t>
      </w:r>
    </w:p>
    <w:p>
      <w:pPr>
        <w:widowControl w:val="0"/>
        <w:spacing w:after="120" w:afterLines="0"/>
        <w:jc w:val="both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</w:p>
    <w:p>
      <w:pPr>
        <w:pStyle w:val="2"/>
        <w:rPr>
          <w:rFonts w:hint="eastAsia"/>
          <w:lang w:val="en-US" w:eastAsia="zh-CN"/>
        </w:rPr>
      </w:pPr>
      <w:r>
        <w:drawing>
          <wp:inline distT="0" distB="0" distL="114300" distR="114300">
            <wp:extent cx="5267325" cy="2075815"/>
            <wp:effectExtent l="0" t="0" r="9525" b="63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07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73675" cy="2152015"/>
            <wp:effectExtent l="0" t="0" r="3175" b="635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152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pStyle w:val="2"/>
        <w:rPr>
          <w:rFonts w:hint="eastAsia" w:ascii="宋体" w:hAnsi="宋体" w:eastAsia="宋体" w:cs="宋体"/>
          <w:sz w:val="28"/>
          <w:szCs w:val="28"/>
        </w:rPr>
      </w:pPr>
    </w:p>
    <w:p>
      <w:pPr>
        <w:pStyle w:val="3"/>
        <w:bidi w:val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bookmarkStart w:id="19" w:name="_Toc13258"/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登录</w:t>
      </w:r>
      <w:bookmarkEnd w:id="19"/>
    </w:p>
    <w:p>
      <w:pPr>
        <w:numPr>
          <w:ilvl w:val="0"/>
          <w:numId w:val="5"/>
        </w:numPr>
        <w:spacing w:line="360" w:lineRule="auto"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登录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地址</w:t>
      </w:r>
      <w:r>
        <w:rPr>
          <w:rFonts w:hint="eastAsia" w:ascii="宋体" w:hAnsi="宋体" w:eastAsia="宋体" w:cs="宋体"/>
          <w:sz w:val="28"/>
          <w:szCs w:val="28"/>
        </w:rPr>
        <w:t>，网址：</w:t>
      </w:r>
      <w:r>
        <w:rPr>
          <w:rFonts w:hint="eastAsia" w:ascii="宋体" w:hAnsi="宋体" w:eastAsia="宋体" w:cs="宋体"/>
          <w:sz w:val="28"/>
          <w:szCs w:val="28"/>
        </w:rPr>
        <w:fldChar w:fldCharType="begin"/>
      </w:r>
      <w:r>
        <w:rPr>
          <w:rFonts w:hint="eastAsia" w:ascii="宋体" w:hAnsi="宋体" w:eastAsia="宋体" w:cs="宋体"/>
          <w:sz w:val="28"/>
          <w:szCs w:val="28"/>
        </w:rPr>
        <w:instrText xml:space="preserve"> HYPERLINK "http://ggzyjy.sc.gov.cn" </w:instrText>
      </w:r>
      <w:r>
        <w:rPr>
          <w:rFonts w:hint="eastAsia" w:ascii="宋体" w:hAnsi="宋体" w:eastAsia="宋体" w:cs="宋体"/>
          <w:sz w:val="28"/>
          <w:szCs w:val="28"/>
        </w:rPr>
        <w:fldChar w:fldCharType="separate"/>
      </w:r>
      <w:r>
        <w:rPr>
          <w:rStyle w:val="14"/>
          <w:rFonts w:hint="eastAsia" w:ascii="宋体" w:hAnsi="宋体" w:eastAsia="宋体" w:cs="宋体"/>
          <w:sz w:val="28"/>
          <w:szCs w:val="28"/>
        </w:rPr>
        <w:t>http://ggzyjy.sc.gov.cn</w:t>
      </w:r>
      <w:r>
        <w:rPr>
          <w:rFonts w:hint="eastAsia" w:ascii="宋体" w:hAnsi="宋体" w:eastAsia="宋体" w:cs="宋体"/>
          <w:sz w:val="28"/>
          <w:szCs w:val="28"/>
        </w:rPr>
        <w:fldChar w:fldCharType="end"/>
      </w:r>
    </w:p>
    <w:p>
      <w:pPr>
        <w:pStyle w:val="2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9230" cy="2962910"/>
            <wp:effectExtent l="0" t="0" r="7620" b="8890"/>
            <wp:docPr id="2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选择交易主体入口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9230" cy="2962910"/>
            <wp:effectExtent l="0" t="0" r="7620" b="8890"/>
            <wp:docPr id="3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9230" cy="2962910"/>
            <wp:effectExtent l="0" t="0" r="7620" b="8890"/>
            <wp:docPr id="3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选择代理机构比选入口</w:t>
      </w:r>
    </w:p>
    <w:p>
      <w:pPr>
        <w:pStyle w:val="2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9230" cy="2962910"/>
            <wp:effectExtent l="0" t="0" r="7620" b="8890"/>
            <wp:docPr id="3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5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widowControl w:val="0"/>
        <w:numPr>
          <w:ilvl w:val="0"/>
          <w:numId w:val="0"/>
        </w:numPr>
        <w:spacing w:after="120" w:afterLines="0" w:afterAutospacing="0"/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输入账号密码，或者CA所登陆，登陆成功后，点击‘四川省公共资源交易平台’入口。</w:t>
      </w:r>
    </w:p>
    <w:p>
      <w:pPr>
        <w:pStyle w:val="2"/>
        <w:widowControl w:val="0"/>
        <w:numPr>
          <w:ilvl w:val="0"/>
          <w:numId w:val="0"/>
        </w:numPr>
        <w:spacing w:after="120" w:afterLines="0" w:afterAutospacing="0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0340" cy="1473200"/>
            <wp:effectExtent l="0" t="0" r="12700" b="5080"/>
            <wp:docPr id="3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47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widowControl w:val="0"/>
        <w:numPr>
          <w:ilvl w:val="0"/>
          <w:numId w:val="0"/>
        </w:numPr>
        <w:spacing w:after="120" w:afterLines="0" w:afterAutospacing="0"/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选择‘确认授权’，如下图：</w:t>
      </w:r>
    </w:p>
    <w:p>
      <w:pPr>
        <w:pStyle w:val="2"/>
        <w:widowControl w:val="0"/>
        <w:numPr>
          <w:ilvl w:val="0"/>
          <w:numId w:val="0"/>
        </w:numPr>
        <w:spacing w:after="120" w:afterLines="0" w:afterAutospacing="0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74310" cy="3526155"/>
            <wp:effectExtent l="0" t="0" r="13970" b="9525"/>
            <wp:docPr id="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2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widowControl w:val="0"/>
        <w:numPr>
          <w:ilvl w:val="0"/>
          <w:numId w:val="0"/>
        </w:numPr>
        <w:spacing w:after="120" w:afterLines="0" w:afterAutospacing="0"/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点击‘确认登录’，如下图：</w:t>
      </w:r>
    </w:p>
    <w:p>
      <w:pPr>
        <w:pStyle w:val="2"/>
        <w:widowControl w:val="0"/>
        <w:numPr>
          <w:ilvl w:val="0"/>
          <w:numId w:val="0"/>
        </w:numPr>
        <w:spacing w:after="120" w:afterLines="0" w:afterAutospacing="0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6690" cy="2350770"/>
            <wp:effectExtent l="0" t="0" r="6350" b="11430"/>
            <wp:docPr id="3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5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5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widowControl w:val="0"/>
        <w:numPr>
          <w:ilvl w:val="0"/>
          <w:numId w:val="0"/>
        </w:numPr>
        <w:spacing w:after="120" w:afterLines="0" w:afterAutospacing="0"/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选择‘招标代理’身份进入系统：</w:t>
      </w:r>
    </w:p>
    <w:p>
      <w:pPr>
        <w:pStyle w:val="2"/>
        <w:widowControl w:val="0"/>
        <w:numPr>
          <w:ilvl w:val="0"/>
          <w:numId w:val="0"/>
        </w:numPr>
        <w:spacing w:after="120" w:afterLines="0" w:afterAutospacing="0"/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4150" cy="1840865"/>
            <wp:effectExtent l="0" t="0" r="8890" b="3175"/>
            <wp:docPr id="3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7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84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widowControl w:val="0"/>
        <w:numPr>
          <w:ilvl w:val="0"/>
          <w:numId w:val="0"/>
        </w:numPr>
        <w:spacing w:after="120" w:afterLines="0" w:afterAutospacing="0"/>
        <w:jc w:val="both"/>
        <w:rPr>
          <w:rFonts w:hint="eastAsia" w:ascii="宋体" w:hAnsi="宋体" w:eastAsia="宋体" w:cs="宋体"/>
          <w:sz w:val="28"/>
          <w:szCs w:val="28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1610" cy="2293620"/>
            <wp:effectExtent l="0" t="0" r="11430" b="7620"/>
            <wp:docPr id="4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8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29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比选文件下载</w:t>
      </w:r>
    </w:p>
    <w:p>
      <w:pPr>
        <w:widowControl/>
        <w:spacing w:line="360" w:lineRule="auto"/>
        <w:jc w:val="left"/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</w:pPr>
      <w:r>
        <w:rPr>
          <w:rFonts w:hint="eastAsia" w:ascii="宋体" w:hAnsi="宋体" w:eastAsia="宋体" w:cs="宋体"/>
          <w:b/>
          <w:color w:val="333333"/>
          <w:kern w:val="0"/>
          <w:sz w:val="28"/>
          <w:szCs w:val="28"/>
          <w:lang w:bidi="ar"/>
        </w:rPr>
        <w:t>流程功能：</w:t>
      </w:r>
      <w:r>
        <w:rPr>
          <w:rFonts w:hint="eastAsia" w:ascii="宋体" w:hAnsi="宋体" w:eastAsia="宋体" w:cs="宋体"/>
          <w:b w:val="0"/>
          <w:bCs/>
          <w:color w:val="333333"/>
          <w:kern w:val="0"/>
          <w:sz w:val="28"/>
          <w:szCs w:val="28"/>
          <w:lang w:val="en-US" w:eastAsia="zh-CN" w:bidi="ar"/>
        </w:rPr>
        <w:t>参与并获取项目比选文件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。</w:t>
      </w:r>
    </w:p>
    <w:p>
      <w:pPr>
        <w:widowControl/>
        <w:spacing w:line="360" w:lineRule="auto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color w:val="333333"/>
          <w:kern w:val="0"/>
          <w:sz w:val="28"/>
          <w:szCs w:val="28"/>
          <w:lang w:bidi="ar"/>
        </w:rPr>
        <w:t>操作步骤：</w:t>
      </w:r>
    </w:p>
    <w:p>
      <w:pPr>
        <w:widowControl/>
        <w:spacing w:line="360" w:lineRule="auto"/>
        <w:ind w:firstLine="560" w:firstLineChars="200"/>
        <w:jc w:val="left"/>
        <w:rPr>
          <w:rFonts w:hint="eastAsia" w:ascii="宋体" w:hAnsi="宋体" w:eastAsia="宋体" w:cs="宋体"/>
          <w:color w:val="333333"/>
          <w:sz w:val="28"/>
          <w:szCs w:val="28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1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eastAsia="zh-CN" w:bidi="ar"/>
        </w:rPr>
        <w:t>、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点击（左方）“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  <w:t>比选系统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”，选择“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  <w:t>比选文件下载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”，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  <w:t>在需参加比选的对应标段右侧，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点击“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320040" cy="213360"/>
            <wp:effectExtent l="0" t="0" r="0" b="0"/>
            <wp:docPr id="2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6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21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”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  <w:t>按钮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；</w:t>
      </w:r>
    </w:p>
    <w:p>
      <w:pPr>
        <w:pStyle w:val="2"/>
        <w:rPr>
          <w:rFonts w:hint="eastAsia" w:ascii="宋体" w:hAnsi="宋体" w:eastAsia="宋体" w:cs="宋体"/>
          <w:sz w:val="28"/>
          <w:szCs w:val="28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  <w:r>
        <w:drawing>
          <wp:inline distT="0" distB="0" distL="114300" distR="114300">
            <wp:extent cx="5267325" cy="1605280"/>
            <wp:effectExtent l="0" t="0" r="9525" b="139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60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5"/>
        </w:numPr>
        <w:ind w:left="0" w:leftChars="0" w:firstLine="560" w:firstLineChars="20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进入下载页面后，确定相关企业信息是否无误后，点击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938530" cy="488950"/>
            <wp:effectExtent l="0" t="0" r="6350" b="13970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938530" cy="48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。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下载比选文件后即视为报名。</w:t>
      </w:r>
    </w:p>
    <w:p>
      <w:pPr>
        <w:pStyle w:val="2"/>
        <w:numPr>
          <w:ilvl w:val="0"/>
          <w:numId w:val="0"/>
        </w:numPr>
        <w:ind w:left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6055" cy="2259330"/>
            <wp:effectExtent l="0" t="0" r="6985" b="11430"/>
            <wp:docPr id="2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4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259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0"/>
        </w:numPr>
        <w:ind w:left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4150" cy="1563370"/>
            <wp:effectExtent l="0" t="0" r="8890" b="6350"/>
            <wp:docPr id="2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56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br w:type="page"/>
      </w:r>
    </w:p>
    <w:p>
      <w:pPr>
        <w:pStyle w:val="3"/>
        <w:bidi w:val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上传申请文件</w:t>
      </w:r>
    </w:p>
    <w:p>
      <w:pPr>
        <w:widowControl/>
        <w:spacing w:line="360" w:lineRule="auto"/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color w:val="333333"/>
          <w:kern w:val="0"/>
          <w:sz w:val="28"/>
          <w:szCs w:val="28"/>
          <w:lang w:bidi="ar"/>
        </w:rPr>
        <w:t>前提条件：</w:t>
      </w:r>
      <w:r>
        <w:rPr>
          <w:rFonts w:hint="eastAsia" w:ascii="宋体" w:hAnsi="宋体" w:eastAsia="宋体" w:cs="宋体"/>
          <w:b w:val="0"/>
          <w:bCs/>
          <w:color w:val="333333"/>
          <w:kern w:val="0"/>
          <w:sz w:val="28"/>
          <w:szCs w:val="28"/>
          <w:lang w:val="en-US" w:eastAsia="zh-CN" w:bidi="ar"/>
        </w:rPr>
        <w:t>已下载过（报名）相应比选项目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。</w:t>
      </w:r>
    </w:p>
    <w:p>
      <w:pPr>
        <w:widowControl/>
        <w:spacing w:line="360" w:lineRule="auto"/>
        <w:jc w:val="left"/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</w:pPr>
      <w:r>
        <w:rPr>
          <w:rFonts w:hint="eastAsia" w:ascii="宋体" w:hAnsi="宋体" w:eastAsia="宋体" w:cs="宋体"/>
          <w:b/>
          <w:color w:val="333333"/>
          <w:kern w:val="0"/>
          <w:sz w:val="28"/>
          <w:szCs w:val="28"/>
          <w:lang w:bidi="ar"/>
        </w:rPr>
        <w:t>流程功能：</w:t>
      </w:r>
      <w:r>
        <w:rPr>
          <w:rFonts w:hint="eastAsia" w:ascii="宋体" w:hAnsi="宋体" w:eastAsia="宋体" w:cs="宋体"/>
          <w:b w:val="0"/>
          <w:bCs/>
          <w:color w:val="333333"/>
          <w:kern w:val="0"/>
          <w:sz w:val="28"/>
          <w:szCs w:val="28"/>
          <w:lang w:val="en-US" w:eastAsia="zh-CN" w:bidi="ar"/>
        </w:rPr>
        <w:t>参与并获取项目比选文件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。</w:t>
      </w:r>
    </w:p>
    <w:p>
      <w:pPr>
        <w:widowControl/>
        <w:spacing w:line="360" w:lineRule="auto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color w:val="333333"/>
          <w:kern w:val="0"/>
          <w:sz w:val="28"/>
          <w:szCs w:val="28"/>
          <w:lang w:bidi="ar"/>
        </w:rPr>
        <w:t>操作步骤：</w:t>
      </w:r>
    </w:p>
    <w:p>
      <w:pPr>
        <w:widowControl/>
        <w:spacing w:line="360" w:lineRule="auto"/>
        <w:ind w:firstLine="560" w:firstLineChars="200"/>
        <w:jc w:val="left"/>
        <w:rPr>
          <w:rFonts w:hint="eastAsia" w:ascii="宋体" w:hAnsi="宋体" w:eastAsia="宋体" w:cs="宋体"/>
          <w:color w:val="333333"/>
          <w:sz w:val="28"/>
          <w:szCs w:val="28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1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eastAsia="zh-CN" w:bidi="ar"/>
        </w:rPr>
        <w:t>、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点击（左方）“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  <w:t>比选系统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”，选择“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  <w:t>上传申请文件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”，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  <w:t>在已下载比选文件的对应标段右侧，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点击“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342900" cy="220980"/>
            <wp:effectExtent l="0" t="0" r="7620" b="7620"/>
            <wp:docPr id="2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8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2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”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  <w:t>按钮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；</w:t>
      </w:r>
    </w:p>
    <w:p>
      <w:pPr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6690" cy="1673225"/>
            <wp:effectExtent l="0" t="0" r="6350" b="3175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7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20" w:firstLineChars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2、进入对应项目后，点击“电子件管理”，进入下级页面后，点击“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1036320" cy="243840"/>
            <wp:effectExtent l="0" t="0" r="0" b="0"/>
            <wp:docPr id="2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1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036320" cy="24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”，在弹出框汇总选择申请，进行上传。</w:t>
      </w:r>
    </w:p>
    <w:p>
      <w:pPr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pStyle w:val="2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8595" cy="1475740"/>
            <wp:effectExtent l="0" t="0" r="4445" b="2540"/>
            <wp:docPr id="2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0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47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8595" cy="1889760"/>
            <wp:effectExtent l="0" t="0" r="4445" b="0"/>
            <wp:docPr id="3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2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88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ascii="宋体" w:hAnsi="宋体" w:eastAsia="宋体" w:cs="宋体"/>
          <w:sz w:val="28"/>
          <w:szCs w:val="28"/>
        </w:rPr>
      </w:pPr>
    </w:p>
    <w:p>
      <w:pPr>
        <w:pStyle w:val="2"/>
        <w:ind w:firstLine="420" w:firstLineChars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上传成功后电子件列表处会显示对应文件。</w:t>
      </w:r>
    </w:p>
    <w:p>
      <w:pPr>
        <w:pStyle w:val="2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4150" cy="1586230"/>
            <wp:effectExtent l="0" t="0" r="8890" b="13970"/>
            <wp:docPr id="3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3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58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抽取结果查看</w:t>
      </w:r>
    </w:p>
    <w:p>
      <w:pPr>
        <w:widowControl/>
        <w:spacing w:line="360" w:lineRule="auto"/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color w:val="333333"/>
          <w:kern w:val="0"/>
          <w:sz w:val="28"/>
          <w:szCs w:val="28"/>
          <w:lang w:bidi="ar"/>
        </w:rPr>
        <w:t>前提条件：</w:t>
      </w:r>
      <w:r>
        <w:rPr>
          <w:rFonts w:hint="eastAsia" w:ascii="宋体" w:hAnsi="宋体" w:eastAsia="宋体" w:cs="宋体"/>
          <w:b w:val="0"/>
          <w:bCs/>
          <w:color w:val="333333"/>
          <w:kern w:val="0"/>
          <w:sz w:val="28"/>
          <w:szCs w:val="28"/>
          <w:lang w:val="en-US" w:eastAsia="zh-CN" w:bidi="ar"/>
        </w:rPr>
        <w:t>相应比选项目资审时间已到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。</w:t>
      </w:r>
    </w:p>
    <w:p>
      <w:pPr>
        <w:widowControl/>
        <w:spacing w:line="360" w:lineRule="auto"/>
        <w:jc w:val="left"/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</w:pPr>
      <w:r>
        <w:rPr>
          <w:rFonts w:hint="eastAsia" w:ascii="宋体" w:hAnsi="宋体" w:eastAsia="宋体" w:cs="宋体"/>
          <w:b/>
          <w:color w:val="333333"/>
          <w:kern w:val="0"/>
          <w:sz w:val="28"/>
          <w:szCs w:val="28"/>
          <w:lang w:bidi="ar"/>
        </w:rPr>
        <w:t>流程功能：</w:t>
      </w:r>
      <w:r>
        <w:rPr>
          <w:rFonts w:hint="eastAsia" w:ascii="宋体" w:hAnsi="宋体" w:eastAsia="宋体" w:cs="宋体"/>
          <w:b w:val="0"/>
          <w:bCs/>
          <w:color w:val="333333"/>
          <w:kern w:val="0"/>
          <w:sz w:val="28"/>
          <w:szCs w:val="28"/>
          <w:lang w:val="en-US" w:eastAsia="zh-CN" w:bidi="ar"/>
        </w:rPr>
        <w:t>查看抽取结果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。</w:t>
      </w:r>
    </w:p>
    <w:p>
      <w:pPr>
        <w:widowControl/>
        <w:spacing w:line="360" w:lineRule="auto"/>
        <w:jc w:val="left"/>
        <w:rPr>
          <w:rFonts w:hint="eastAsia" w:ascii="宋体" w:hAnsi="宋体" w:eastAsia="宋体" w:cs="宋体"/>
          <w:b/>
          <w:color w:val="333333"/>
          <w:kern w:val="0"/>
          <w:sz w:val="28"/>
          <w:szCs w:val="28"/>
          <w:lang w:bidi="ar"/>
        </w:rPr>
      </w:pPr>
      <w:r>
        <w:rPr>
          <w:rFonts w:hint="eastAsia" w:ascii="宋体" w:hAnsi="宋体" w:eastAsia="宋体" w:cs="宋体"/>
          <w:b/>
          <w:color w:val="333333"/>
          <w:kern w:val="0"/>
          <w:sz w:val="28"/>
          <w:szCs w:val="28"/>
          <w:lang w:bidi="ar"/>
        </w:rPr>
        <w:t>操作步骤：</w:t>
      </w:r>
    </w:p>
    <w:p>
      <w:pPr>
        <w:widowControl/>
        <w:numPr>
          <w:ilvl w:val="0"/>
          <w:numId w:val="6"/>
        </w:numPr>
        <w:spacing w:line="360" w:lineRule="auto"/>
        <w:ind w:firstLine="560" w:firstLineChars="200"/>
        <w:jc w:val="left"/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点击（左方）“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  <w:t>比选系统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”，选择“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  <w:t>抽取结果查看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”，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  <w:t>在比选的对应标段右侧，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点击“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396240" cy="243840"/>
            <wp:effectExtent l="0" t="0" r="0" b="0"/>
            <wp:docPr id="6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9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96240" cy="24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”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  <w:t>按钮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；</w:t>
      </w:r>
    </w:p>
    <w:p>
      <w:pPr>
        <w:pStyle w:val="2"/>
        <w:numPr>
          <w:ilvl w:val="0"/>
          <w:numId w:val="0"/>
        </w:num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6690" cy="2054860"/>
            <wp:effectExtent l="0" t="0" r="6350" b="2540"/>
            <wp:docPr id="6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10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5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0"/>
        </w:numPr>
        <w:ind w:firstLine="420" w:firstLineChars="0"/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  <w:t>2、进入详情页后，即可查询抽取情况。</w:t>
      </w:r>
    </w:p>
    <w:p>
      <w:pPr>
        <w:pStyle w:val="2"/>
        <w:numPr>
          <w:ilvl w:val="0"/>
          <w:numId w:val="0"/>
        </w:num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73040" cy="2277745"/>
            <wp:effectExtent l="0" t="0" r="0" b="8255"/>
            <wp:docPr id="6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12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27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中选通知书领取</w:t>
      </w:r>
    </w:p>
    <w:p>
      <w:pPr>
        <w:widowControl/>
        <w:spacing w:line="360" w:lineRule="auto"/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color w:val="333333"/>
          <w:kern w:val="0"/>
          <w:sz w:val="28"/>
          <w:szCs w:val="28"/>
          <w:lang w:bidi="ar"/>
        </w:rPr>
        <w:t>前提条件：</w:t>
      </w:r>
      <w:r>
        <w:rPr>
          <w:rFonts w:hint="eastAsia" w:ascii="宋体" w:hAnsi="宋体" w:eastAsia="宋体" w:cs="宋体"/>
          <w:b w:val="0"/>
          <w:bCs/>
          <w:color w:val="333333"/>
          <w:kern w:val="0"/>
          <w:sz w:val="28"/>
          <w:szCs w:val="28"/>
          <w:lang w:val="en-US" w:eastAsia="zh-CN" w:bidi="ar"/>
        </w:rPr>
        <w:t>相应比选项目成功中选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。</w:t>
      </w:r>
    </w:p>
    <w:p>
      <w:pPr>
        <w:widowControl/>
        <w:spacing w:line="360" w:lineRule="auto"/>
        <w:jc w:val="left"/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</w:pPr>
      <w:r>
        <w:rPr>
          <w:rFonts w:hint="eastAsia" w:ascii="宋体" w:hAnsi="宋体" w:eastAsia="宋体" w:cs="宋体"/>
          <w:b/>
          <w:color w:val="333333"/>
          <w:kern w:val="0"/>
          <w:sz w:val="28"/>
          <w:szCs w:val="28"/>
          <w:lang w:bidi="ar"/>
        </w:rPr>
        <w:t>流程功能：</w:t>
      </w:r>
      <w:r>
        <w:rPr>
          <w:rFonts w:hint="eastAsia" w:ascii="宋体" w:hAnsi="宋体" w:eastAsia="宋体" w:cs="宋体"/>
          <w:b w:val="0"/>
          <w:bCs/>
          <w:color w:val="333333"/>
          <w:kern w:val="0"/>
          <w:sz w:val="28"/>
          <w:szCs w:val="28"/>
          <w:lang w:val="en-US" w:eastAsia="zh-CN" w:bidi="ar"/>
        </w:rPr>
        <w:t>中选通知书下载领取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。</w:t>
      </w:r>
    </w:p>
    <w:p>
      <w:pPr>
        <w:widowControl/>
        <w:spacing w:line="360" w:lineRule="auto"/>
        <w:jc w:val="left"/>
        <w:rPr>
          <w:rFonts w:hint="eastAsia" w:ascii="宋体" w:hAnsi="宋体" w:eastAsia="宋体" w:cs="宋体"/>
          <w:b/>
          <w:color w:val="333333"/>
          <w:kern w:val="0"/>
          <w:sz w:val="28"/>
          <w:szCs w:val="28"/>
          <w:lang w:bidi="ar"/>
        </w:rPr>
      </w:pPr>
      <w:r>
        <w:rPr>
          <w:rFonts w:hint="eastAsia" w:ascii="宋体" w:hAnsi="宋体" w:eastAsia="宋体" w:cs="宋体"/>
          <w:b/>
          <w:color w:val="333333"/>
          <w:kern w:val="0"/>
          <w:sz w:val="28"/>
          <w:szCs w:val="28"/>
          <w:lang w:bidi="ar"/>
        </w:rPr>
        <w:t>操作步骤：</w:t>
      </w:r>
    </w:p>
    <w:p>
      <w:pPr>
        <w:widowControl/>
        <w:numPr>
          <w:ilvl w:val="0"/>
          <w:numId w:val="6"/>
        </w:numPr>
        <w:spacing w:line="360" w:lineRule="auto"/>
        <w:ind w:firstLine="560" w:firstLineChars="200"/>
        <w:jc w:val="left"/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点击（左方）“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  <w:t>比选系统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”，选择“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  <w:t>中选通知书领取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”，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  <w:t>在已中选比选的对应标段右侧，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点击“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320040" cy="213360"/>
            <wp:effectExtent l="0" t="0" r="0" b="0"/>
            <wp:docPr id="4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6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21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”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  <w:t>按钮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；</w:t>
      </w:r>
    </w:p>
    <w:p>
      <w:pPr>
        <w:pStyle w:val="2"/>
        <w:numPr>
          <w:ilvl w:val="0"/>
          <w:numId w:val="0"/>
        </w:num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6690" cy="1673225"/>
            <wp:effectExtent l="0" t="0" r="6350" b="3175"/>
            <wp:docPr id="4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4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7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0"/>
        </w:numPr>
        <w:ind w:firstLine="420" w:firstLineChars="0"/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  <w:t>2、进入详情页后，即可查询中选情况信息及中选通知书下载。</w:t>
      </w:r>
    </w:p>
    <w:p>
      <w:pPr>
        <w:pStyle w:val="2"/>
        <w:numPr>
          <w:ilvl w:val="0"/>
          <w:numId w:val="0"/>
        </w:numPr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3515" cy="2077085"/>
            <wp:effectExtent l="0" t="0" r="9525" b="10795"/>
            <wp:docPr id="5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5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07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合同签署</w:t>
      </w:r>
    </w:p>
    <w:p>
      <w:pPr>
        <w:widowControl/>
        <w:spacing w:line="360" w:lineRule="auto"/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color w:val="333333"/>
          <w:kern w:val="0"/>
          <w:sz w:val="28"/>
          <w:szCs w:val="28"/>
          <w:lang w:bidi="ar"/>
        </w:rPr>
        <w:t>前提条件：</w:t>
      </w:r>
      <w:r>
        <w:rPr>
          <w:rFonts w:hint="eastAsia" w:ascii="宋体" w:hAnsi="宋体" w:eastAsia="宋体" w:cs="宋体"/>
          <w:b w:val="0"/>
          <w:bCs/>
          <w:color w:val="333333"/>
          <w:kern w:val="0"/>
          <w:sz w:val="28"/>
          <w:szCs w:val="28"/>
          <w:lang w:val="en-US" w:eastAsia="zh-CN" w:bidi="ar"/>
        </w:rPr>
        <w:t>相应比选项目已发合同签署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。</w:t>
      </w:r>
    </w:p>
    <w:p>
      <w:pPr>
        <w:widowControl/>
        <w:spacing w:line="360" w:lineRule="auto"/>
        <w:jc w:val="left"/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</w:pPr>
      <w:r>
        <w:rPr>
          <w:rFonts w:hint="eastAsia" w:ascii="宋体" w:hAnsi="宋体" w:eastAsia="宋体" w:cs="宋体"/>
          <w:b/>
          <w:color w:val="333333"/>
          <w:kern w:val="0"/>
          <w:sz w:val="28"/>
          <w:szCs w:val="28"/>
          <w:lang w:bidi="ar"/>
        </w:rPr>
        <w:t>流程功能：</w:t>
      </w:r>
      <w:r>
        <w:rPr>
          <w:rFonts w:hint="eastAsia" w:ascii="宋体" w:hAnsi="宋体" w:eastAsia="宋体" w:cs="宋体"/>
          <w:b w:val="0"/>
          <w:bCs/>
          <w:color w:val="333333"/>
          <w:kern w:val="0"/>
          <w:sz w:val="28"/>
          <w:szCs w:val="28"/>
          <w:lang w:val="en-US" w:eastAsia="zh-CN" w:bidi="ar"/>
        </w:rPr>
        <w:t>查看合同签署情况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。</w:t>
      </w:r>
    </w:p>
    <w:p>
      <w:pPr>
        <w:widowControl/>
        <w:spacing w:line="360" w:lineRule="auto"/>
        <w:jc w:val="left"/>
        <w:rPr>
          <w:rFonts w:hint="eastAsia" w:ascii="宋体" w:hAnsi="宋体" w:eastAsia="宋体" w:cs="宋体"/>
          <w:b/>
          <w:color w:val="333333"/>
          <w:kern w:val="0"/>
          <w:sz w:val="28"/>
          <w:szCs w:val="28"/>
          <w:lang w:bidi="ar"/>
        </w:rPr>
      </w:pPr>
      <w:r>
        <w:rPr>
          <w:rFonts w:hint="eastAsia" w:ascii="宋体" w:hAnsi="宋体" w:eastAsia="宋体" w:cs="宋体"/>
          <w:b/>
          <w:color w:val="333333"/>
          <w:kern w:val="0"/>
          <w:sz w:val="28"/>
          <w:szCs w:val="28"/>
          <w:lang w:bidi="ar"/>
        </w:rPr>
        <w:t>操作步骤：</w:t>
      </w:r>
    </w:p>
    <w:p>
      <w:pPr>
        <w:widowControl/>
        <w:numPr>
          <w:ilvl w:val="0"/>
          <w:numId w:val="7"/>
        </w:numPr>
        <w:spacing w:line="360" w:lineRule="auto"/>
        <w:jc w:val="left"/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</w:pP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点击（左方）“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  <w:t>比选系统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”，选择“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  <w:t>合同签署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bidi="ar"/>
        </w:rPr>
        <w:t>”，</w:t>
      </w:r>
      <w:r>
        <w:rPr>
          <w:rFonts w:hint="eastAsia" w:ascii="宋体" w:hAnsi="宋体" w:eastAsia="宋体" w:cs="宋体"/>
          <w:color w:val="333333"/>
          <w:kern w:val="0"/>
          <w:sz w:val="28"/>
          <w:szCs w:val="28"/>
          <w:lang w:val="en-US" w:eastAsia="zh-CN" w:bidi="ar"/>
        </w:rPr>
        <w:t>对招标人起草的合同进行盖章确认。</w:t>
      </w:r>
    </w:p>
    <w:p>
      <w:pPr>
        <w:pStyle w:val="2"/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5420" cy="2018030"/>
            <wp:effectExtent l="0" t="0" r="11430" b="1270"/>
            <wp:docPr id="3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6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01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>技术支持</w:t>
      </w:r>
    </w:p>
    <w:p>
      <w:pPr>
        <w:rPr>
          <w:rFonts w:hint="default"/>
          <w:lang w:val="en-US" w:eastAsia="zh-CN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>请拨打客户服务电话 4009280095</w:t>
      </w:r>
      <w:bookmarkStart w:id="20" w:name="_GoBack"/>
      <w:bookmarkEnd w:id="20"/>
    </w:p>
    <w:p>
      <w:pPr>
        <w:pStyle w:val="2"/>
        <w:numPr>
          <w:ilvl w:val="0"/>
          <w:numId w:val="0"/>
        </w:numPr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pStyle w:val="2"/>
        <w:numPr>
          <w:ilvl w:val="0"/>
          <w:numId w:val="0"/>
        </w:numPr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sectPr>
      <w:headerReference r:id="rId4" w:type="default"/>
      <w:footerReference r:id="rId5" w:type="default"/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0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s0lY7tAAAAAFAQAADwAAAAAAAAABACAAAAAi&#10;AAAAZHJzL2Rvd25yZXYueG1sUEsBAhQAFAAAAAgAh07iQErbzf8SAgAAEwQAAA4AAAAAAAAAAQAg&#10;AAAAHwEAAGRycy9lMm9Eb2MueG1sUEsFBgAAAAAGAAYAWQEAAKM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0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jc w:val="right"/>
    </w:pPr>
    <w:r>
      <w:rPr>
        <w:rFonts w:hint="eastAsia"/>
        <w:lang w:val="en-US" w:eastAsia="zh-CN"/>
      </w:rPr>
      <w:t>四川省政府政务服务和公共资源交易服务中心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rPr>
        <w:rFonts w:hint="default" w:eastAsia="宋体"/>
        <w:lang w:val="en-US" w:eastAsia="zh-CN"/>
      </w:rPr>
    </w:pPr>
    <w:r>
      <w:rPr>
        <w:rFonts w:hint="eastAsia"/>
        <w:lang w:val="en-US" w:eastAsia="zh-CN"/>
      </w:rPr>
      <w:t>四川省政府政务服务和公共资源交易服务中心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7391E31"/>
    <w:multiLevelType w:val="singleLevel"/>
    <w:tmpl w:val="97391E31"/>
    <w:lvl w:ilvl="0" w:tentative="0">
      <w:start w:val="4"/>
      <w:numFmt w:val="decimal"/>
      <w:suff w:val="nothing"/>
      <w:lvlText w:val="%1、"/>
      <w:lvlJc w:val="left"/>
    </w:lvl>
  </w:abstractNum>
  <w:abstractNum w:abstractNumId="1">
    <w:nsid w:val="DE099839"/>
    <w:multiLevelType w:val="singleLevel"/>
    <w:tmpl w:val="DE099839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F20141F5"/>
    <w:multiLevelType w:val="multilevel"/>
    <w:tmpl w:val="F20141F5"/>
    <w:lvl w:ilvl="0" w:tentative="0">
      <w:start w:val="1"/>
      <w:numFmt w:val="chineseCountingThousand"/>
      <w:pStyle w:val="3"/>
      <w:suff w:val="nothing"/>
      <w:lvlText w:val="%1、"/>
      <w:lvlJc w:val="left"/>
      <w:pPr>
        <w:ind w:left="425" w:hanging="425"/>
      </w:pPr>
      <w:rPr>
        <w:rFonts w:hint="eastAsia"/>
      </w:rPr>
    </w:lvl>
    <w:lvl w:ilvl="1" w:tentative="0">
      <w:start w:val="1"/>
      <w:numFmt w:val="decimal"/>
      <w:pStyle w:val="4"/>
      <w:isLgl/>
      <w:suff w:val="nothing"/>
      <w:lvlText w:val="%1.%2、"/>
      <w:lvlJc w:val="left"/>
      <w:pPr>
        <w:ind w:left="567" w:hanging="567"/>
      </w:pPr>
      <w:rPr>
        <w:rFonts w:hint="eastAsia" w:ascii="Times New Roman" w:hAnsi="Times New Roman" w:cs="Times New Roman"/>
      </w:rPr>
    </w:lvl>
    <w:lvl w:ilvl="2" w:tentative="0">
      <w:start w:val="1"/>
      <w:numFmt w:val="decimal"/>
      <w:pStyle w:val="5"/>
      <w:isLgl/>
      <w:suff w:val="nothing"/>
      <w:lvlText w:val="%1.%2.%3、"/>
      <w:lvlJc w:val="left"/>
      <w:pPr>
        <w:ind w:left="1069" w:hanging="1069"/>
      </w:pPr>
      <w:rPr>
        <w:rFonts w:hint="eastAsia"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pStyle w:val="7"/>
      <w:isLgl/>
      <w:suff w:val="nothing"/>
      <w:lvlText w:val="%1.%2.%3.%4、"/>
      <w:lvlJc w:val="left"/>
      <w:pPr>
        <w:ind w:left="1419" w:hanging="851"/>
      </w:pPr>
      <w:rPr>
        <w:rFonts w:hint="eastAsia" w:ascii="宋体" w:hAnsi="宋体" w:eastAsia="宋体" w:cs="Times New Roman"/>
        <w:sz w:val="24"/>
        <w:szCs w:val="24"/>
      </w:rPr>
    </w:lvl>
    <w:lvl w:ilvl="4" w:tentative="0">
      <w:start w:val="1"/>
      <w:numFmt w:val="decimal"/>
      <w:pStyle w:val="8"/>
      <w:isLgl/>
      <w:suff w:val="nothing"/>
      <w:lvlText w:val="%1.%2.%3.%4.%5、"/>
      <w:lvlJc w:val="left"/>
      <w:pPr>
        <w:ind w:left="992" w:hanging="992"/>
      </w:pPr>
      <w:rPr>
        <w:rFonts w:hint="eastAsia"/>
      </w:rPr>
    </w:lvl>
    <w:lvl w:ilvl="5" w:tentative="0">
      <w:start w:val="1"/>
      <w:numFmt w:val="decimal"/>
      <w:pStyle w:val="9"/>
      <w:isLgl/>
      <w:suff w:val="nothing"/>
      <w:lvlText w:val="%1.%2.%3.%4.%5.%6、"/>
      <w:lvlJc w:val="left"/>
      <w:pPr>
        <w:ind w:left="1134" w:hanging="1134"/>
      </w:pPr>
      <w:rPr>
        <w:rFonts w:hint="eastAsia" w:ascii="Times New Roman" w:hAnsi="Times New Roman" w:cs="Times New Roman"/>
      </w:rPr>
    </w:lvl>
    <w:lvl w:ilvl="6" w:tentative="0">
      <w:start w:val="1"/>
      <w:numFmt w:val="decimal"/>
      <w:isLgl/>
      <w:lvlText w:val="%1.%2.%3.%4.%5.%6.%7"/>
      <w:lvlJc w:val="left"/>
      <w:pPr>
        <w:tabs>
          <w:tab w:val="left" w:pos="1800"/>
        </w:tabs>
        <w:ind w:left="1276" w:hanging="1276"/>
      </w:pPr>
      <w:rPr>
        <w:rFonts w:hint="eastAsia"/>
      </w:rPr>
    </w:lvl>
    <w:lvl w:ilvl="7" w:tentative="0">
      <w:start w:val="1"/>
      <w:numFmt w:val="decimal"/>
      <w:isLgl/>
      <w:lvlText w:val="%1.%2.%3.%4.%5.%6.%7.%8"/>
      <w:lvlJc w:val="left"/>
      <w:pPr>
        <w:tabs>
          <w:tab w:val="left" w:pos="1800"/>
        </w:tabs>
        <w:ind w:left="1418" w:hanging="1418"/>
      </w:pPr>
      <w:rPr>
        <w:rFonts w:hint="eastAsia"/>
      </w:rPr>
    </w:lvl>
    <w:lvl w:ilvl="8" w:tentative="0">
      <w:start w:val="1"/>
      <w:numFmt w:val="decimal"/>
      <w:isLgl/>
      <w:lvlText w:val="%1.%2.%3.%4.%5.%6.%7.%8.%9"/>
      <w:lvlJc w:val="left"/>
      <w:pPr>
        <w:tabs>
          <w:tab w:val="left" w:pos="2160"/>
        </w:tabs>
        <w:ind w:left="1559" w:hanging="1559"/>
      </w:pPr>
      <w:rPr>
        <w:rFonts w:hint="eastAsia"/>
      </w:rPr>
    </w:lvl>
  </w:abstractNum>
  <w:abstractNum w:abstractNumId="3">
    <w:nsid w:val="24ACC988"/>
    <w:multiLevelType w:val="singleLevel"/>
    <w:tmpl w:val="24ACC988"/>
    <w:lvl w:ilvl="0" w:tentative="0">
      <w:start w:val="1"/>
      <w:numFmt w:val="decimal"/>
      <w:suff w:val="nothing"/>
      <w:lvlText w:val="%1、"/>
      <w:lvlJc w:val="left"/>
    </w:lvl>
  </w:abstractNum>
  <w:abstractNum w:abstractNumId="4">
    <w:nsid w:val="2C847723"/>
    <w:multiLevelType w:val="multilevel"/>
    <w:tmpl w:val="2C847723"/>
    <w:lvl w:ilvl="0" w:tentative="0">
      <w:start w:val="1"/>
      <w:numFmt w:val="chineseCountingThousand"/>
      <w:lvlText w:val="%1、"/>
      <w:lvlJc w:val="left"/>
      <w:pPr>
        <w:ind w:left="425" w:hanging="425"/>
      </w:pPr>
      <w:rPr>
        <w:rFonts w:hint="eastAsia"/>
      </w:rPr>
    </w:lvl>
    <w:lvl w:ilvl="1" w:tentative="0">
      <w:start w:val="1"/>
      <w:numFmt w:val="decimal"/>
      <w:isLgl/>
      <w:lvlText w:val="%1.%2、"/>
      <w:lvlJc w:val="left"/>
      <w:pPr>
        <w:ind w:left="1560" w:hanging="1560"/>
      </w:pPr>
      <w:rPr>
        <w:rFonts w:hint="eastAsia"/>
      </w:rPr>
    </w:lvl>
    <w:lvl w:ilvl="2" w:tentative="0">
      <w:start w:val="1"/>
      <w:numFmt w:val="decimal"/>
      <w:lvlRestart w:val="1"/>
      <w:isLgl/>
      <w:lvlText w:val="%1.%2.%3、"/>
      <w:lvlJc w:val="left"/>
      <w:pPr>
        <w:ind w:left="1418" w:hanging="1418"/>
      </w:pPr>
      <w:rPr>
        <w:rFonts w:hint="eastAsia"/>
        <w:b w:val="0"/>
        <w:i w:val="0"/>
      </w:rPr>
    </w:lvl>
    <w:lvl w:ilvl="3" w:tentative="0">
      <w:start w:val="1"/>
      <w:numFmt w:val="none"/>
      <w:lvlText w:val="%4%11.1.1.1、"/>
      <w:lvlJc w:val="left"/>
      <w:pPr>
        <w:ind w:left="1984" w:hanging="708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5">
    <w:nsid w:val="4E2FA765"/>
    <w:multiLevelType w:val="singleLevel"/>
    <w:tmpl w:val="4E2FA765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6A2F4AB3"/>
    <w:multiLevelType w:val="multilevel"/>
    <w:tmpl w:val="6A2F4AB3"/>
    <w:lvl w:ilvl="0" w:tentative="0">
      <w:start w:val="1"/>
      <w:numFmt w:val="chineseCountingThousand"/>
      <w:suff w:val="nothing"/>
      <w:lvlText w:val="%1、"/>
      <w:lvlJc w:val="left"/>
      <w:pPr>
        <w:ind w:left="709" w:firstLine="0"/>
      </w:pPr>
      <w:rPr>
        <w:rFonts w:hint="eastAsia"/>
      </w:rPr>
    </w:lvl>
    <w:lvl w:ilvl="1" w:tentative="0">
      <w:start w:val="1"/>
      <w:numFmt w:val="decimal"/>
      <w:isLgl/>
      <w:suff w:val="nothing"/>
      <w:lvlText w:val="%1.%2、"/>
      <w:lvlJc w:val="left"/>
      <w:pPr>
        <w:ind w:left="0" w:firstLine="0"/>
      </w:pPr>
      <w:rPr>
        <w:rFonts w:hint="default" w:ascii="Times New Roman" w:hAnsi="Times New Roman" w:cs="Times New Roman"/>
      </w:rPr>
    </w:lvl>
    <w:lvl w:ilvl="2" w:tentative="0">
      <w:start w:val="1"/>
      <w:numFmt w:val="decimal"/>
      <w:isLgl/>
      <w:suff w:val="nothing"/>
      <w:lvlText w:val="%1.%2.%3、"/>
      <w:lvlJc w:val="left"/>
      <w:pPr>
        <w:ind w:left="142" w:firstLine="0"/>
      </w:pPr>
      <w:rPr>
        <w:rFonts w:hint="default" w:ascii="Times New Roman" w:hAnsi="Times New Roman" w:cs="Times New Roman"/>
        <w:b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isLgl/>
      <w:suff w:val="nothing"/>
      <w:lvlText w:val="%1.%2.%3.%4、"/>
      <w:lvlJc w:val="left"/>
      <w:pPr>
        <w:ind w:left="851" w:hanging="851"/>
      </w:pPr>
      <w:rPr>
        <w:rFonts w:hint="default" w:ascii="Times New Roman" w:hAnsi="Times New Roman" w:eastAsia="宋体" w:cs="Times New Roman"/>
        <w:sz w:val="24"/>
        <w:szCs w:val="24"/>
      </w:rPr>
    </w:lvl>
    <w:lvl w:ilvl="4" w:tentative="0">
      <w:start w:val="1"/>
      <w:numFmt w:val="decimal"/>
      <w:isLgl/>
      <w:suff w:val="nothing"/>
      <w:lvlText w:val="%1.%2.%3.%4.%5、"/>
      <w:lvlJc w:val="left"/>
      <w:pPr>
        <w:ind w:left="992" w:hanging="992"/>
      </w:pPr>
      <w:rPr>
        <w:rFonts w:hint="eastAsia"/>
      </w:rPr>
    </w:lvl>
    <w:lvl w:ilvl="5" w:tentative="0">
      <w:start w:val="1"/>
      <w:numFmt w:val="decimal"/>
      <w:isLgl/>
      <w:suff w:val="nothing"/>
      <w:lvlText w:val="%1.%2.%3.%4.%5.%6、"/>
      <w:lvlJc w:val="left"/>
      <w:pPr>
        <w:ind w:left="1134" w:hanging="1134"/>
      </w:pPr>
      <w:rPr>
        <w:rFonts w:hint="default" w:ascii="Times New Roman" w:hAnsi="Times New Roman" w:cs="Times New Roman"/>
      </w:rPr>
    </w:lvl>
    <w:lvl w:ilvl="6" w:tentative="0">
      <w:start w:val="1"/>
      <w:numFmt w:val="decimal"/>
      <w:isLgl/>
      <w:lvlText w:val="%1.%2.%3.%4.%5.%6.%7"/>
      <w:lvlJc w:val="left"/>
      <w:pPr>
        <w:tabs>
          <w:tab w:val="left" w:pos="1800"/>
        </w:tabs>
        <w:ind w:left="1276" w:hanging="1276"/>
      </w:pPr>
      <w:rPr>
        <w:rFonts w:hint="eastAsia"/>
      </w:rPr>
    </w:lvl>
    <w:lvl w:ilvl="7" w:tentative="0">
      <w:start w:val="1"/>
      <w:numFmt w:val="decimal"/>
      <w:isLgl/>
      <w:lvlText w:val="%1.%2.%3.%4.%5.%6.%7.%8"/>
      <w:lvlJc w:val="left"/>
      <w:pPr>
        <w:tabs>
          <w:tab w:val="left" w:pos="1800"/>
        </w:tabs>
        <w:ind w:left="1418" w:hanging="1418"/>
      </w:pPr>
      <w:rPr>
        <w:rFonts w:hint="eastAsia"/>
      </w:rPr>
    </w:lvl>
    <w:lvl w:ilvl="8" w:tentative="0">
      <w:start w:val="1"/>
      <w:numFmt w:val="decimal"/>
      <w:isLgl/>
      <w:lvlText w:val="%1.%2.%3.%4.%5.%6.%7.%8.%9"/>
      <w:lvlJc w:val="left"/>
      <w:pPr>
        <w:tabs>
          <w:tab w:val="left" w:pos="2160"/>
        </w:tabs>
        <w:ind w:left="1559" w:hanging="1559"/>
      </w:pPr>
      <w:rPr>
        <w:rFonts w:hint="eastAsia"/>
      </w:rPr>
    </w:lvl>
  </w:abstractNum>
  <w:num w:numId="1">
    <w:abstractNumId w:val="2"/>
  </w:num>
  <w:num w:numId="2">
    <w:abstractNumId w:val="6"/>
  </w:num>
  <w:num w:numId="3">
    <w:abstractNumId w:val="4"/>
  </w:num>
  <w:num w:numId="4">
    <w:abstractNumId w:val="0"/>
  </w:num>
  <w:num w:numId="5">
    <w:abstractNumId w:val="5"/>
  </w:num>
  <w:num w:numId="6">
    <w:abstractNumId w:val="1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6A5BE2"/>
    <w:rsid w:val="02917E2B"/>
    <w:rsid w:val="02D04600"/>
    <w:rsid w:val="0379543D"/>
    <w:rsid w:val="04250AB9"/>
    <w:rsid w:val="05C370E2"/>
    <w:rsid w:val="06335AE9"/>
    <w:rsid w:val="08501485"/>
    <w:rsid w:val="0A1E4EB3"/>
    <w:rsid w:val="0A211D9D"/>
    <w:rsid w:val="0B6058A8"/>
    <w:rsid w:val="0C8E4F98"/>
    <w:rsid w:val="0F2012AF"/>
    <w:rsid w:val="0FA451CD"/>
    <w:rsid w:val="12897E79"/>
    <w:rsid w:val="12941BF5"/>
    <w:rsid w:val="162178FE"/>
    <w:rsid w:val="165B2664"/>
    <w:rsid w:val="182A233E"/>
    <w:rsid w:val="1A79441B"/>
    <w:rsid w:val="1AB306F9"/>
    <w:rsid w:val="1B007791"/>
    <w:rsid w:val="1BDD400C"/>
    <w:rsid w:val="1F3F0B9D"/>
    <w:rsid w:val="27342B5B"/>
    <w:rsid w:val="2752226A"/>
    <w:rsid w:val="28C853A2"/>
    <w:rsid w:val="293E6748"/>
    <w:rsid w:val="2AB41232"/>
    <w:rsid w:val="2B4526A8"/>
    <w:rsid w:val="2BB82F55"/>
    <w:rsid w:val="2C46287B"/>
    <w:rsid w:val="2E0655EB"/>
    <w:rsid w:val="2EC57BC2"/>
    <w:rsid w:val="2ECA158A"/>
    <w:rsid w:val="2EDB6CB5"/>
    <w:rsid w:val="2F8B6B92"/>
    <w:rsid w:val="2F9F45FD"/>
    <w:rsid w:val="2FA500EB"/>
    <w:rsid w:val="30A76BB7"/>
    <w:rsid w:val="31355333"/>
    <w:rsid w:val="3313395C"/>
    <w:rsid w:val="3452482B"/>
    <w:rsid w:val="354774EC"/>
    <w:rsid w:val="39D42D58"/>
    <w:rsid w:val="3A3D6936"/>
    <w:rsid w:val="3BB65BE0"/>
    <w:rsid w:val="3E553017"/>
    <w:rsid w:val="3E5D63BE"/>
    <w:rsid w:val="3F37577C"/>
    <w:rsid w:val="4022061C"/>
    <w:rsid w:val="41860CAB"/>
    <w:rsid w:val="422F26EB"/>
    <w:rsid w:val="4779292D"/>
    <w:rsid w:val="4787621C"/>
    <w:rsid w:val="48461E01"/>
    <w:rsid w:val="488F3233"/>
    <w:rsid w:val="49C72721"/>
    <w:rsid w:val="4B6F0E0F"/>
    <w:rsid w:val="4BDA7847"/>
    <w:rsid w:val="4E1C69B6"/>
    <w:rsid w:val="4ED33792"/>
    <w:rsid w:val="4EDD4DD5"/>
    <w:rsid w:val="5252140A"/>
    <w:rsid w:val="529F4245"/>
    <w:rsid w:val="532B509D"/>
    <w:rsid w:val="55ED0AC5"/>
    <w:rsid w:val="57C67688"/>
    <w:rsid w:val="58927235"/>
    <w:rsid w:val="58DF4B11"/>
    <w:rsid w:val="5B6F2F7F"/>
    <w:rsid w:val="5CC14FF9"/>
    <w:rsid w:val="5CFB7BCE"/>
    <w:rsid w:val="5D474212"/>
    <w:rsid w:val="5FBE1246"/>
    <w:rsid w:val="62A90E1D"/>
    <w:rsid w:val="62FD4BEF"/>
    <w:rsid w:val="63417791"/>
    <w:rsid w:val="63E93BBB"/>
    <w:rsid w:val="68CD2C74"/>
    <w:rsid w:val="69174987"/>
    <w:rsid w:val="693F2310"/>
    <w:rsid w:val="69694C96"/>
    <w:rsid w:val="69746D80"/>
    <w:rsid w:val="6DB830F7"/>
    <w:rsid w:val="7094157D"/>
    <w:rsid w:val="71092260"/>
    <w:rsid w:val="71512B3C"/>
    <w:rsid w:val="718416CD"/>
    <w:rsid w:val="718620B1"/>
    <w:rsid w:val="72BE0B34"/>
    <w:rsid w:val="72E26DAE"/>
    <w:rsid w:val="73D346CC"/>
    <w:rsid w:val="73DD56BF"/>
    <w:rsid w:val="741A7882"/>
    <w:rsid w:val="747E3D1B"/>
    <w:rsid w:val="79B41EBF"/>
    <w:rsid w:val="7A480C1E"/>
    <w:rsid w:val="7C6B077C"/>
    <w:rsid w:val="7CF66B79"/>
    <w:rsid w:val="7DB90A0E"/>
    <w:rsid w:val="7ECF2674"/>
    <w:rsid w:val="7FDA22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4"/>
      <w:szCs w:val="24"/>
      <w:lang w:val="en-US" w:eastAsia="zh-CN" w:bidi="ar-SA"/>
    </w:rPr>
  </w:style>
  <w:style w:type="paragraph" w:styleId="3">
    <w:name w:val="heading 1"/>
    <w:basedOn w:val="1"/>
    <w:next w:val="1"/>
    <w:link w:val="17"/>
    <w:qFormat/>
    <w:uiPriority w:val="0"/>
    <w:pPr>
      <w:keepNext/>
      <w:keepLines/>
      <w:numPr>
        <w:ilvl w:val="0"/>
        <w:numId w:val="1"/>
      </w:numPr>
      <w:spacing w:before="20" w:line="324" w:lineRule="auto"/>
      <w:ind w:left="425" w:hanging="425" w:firstLineChars="0"/>
      <w:outlineLvl w:val="0"/>
    </w:pPr>
    <w:rPr>
      <w:rFonts w:ascii="Times New Roman" w:hAnsi="Times New Roman"/>
      <w:b/>
      <w:bCs/>
      <w:kern w:val="44"/>
      <w:sz w:val="30"/>
      <w:szCs w:val="28"/>
    </w:rPr>
  </w:style>
  <w:style w:type="paragraph" w:styleId="4">
    <w:name w:val="heading 2"/>
    <w:basedOn w:val="5"/>
    <w:next w:val="6"/>
    <w:link w:val="16"/>
    <w:semiHidden/>
    <w:unhideWhenUsed/>
    <w:qFormat/>
    <w:uiPriority w:val="0"/>
    <w:pPr>
      <w:keepNext/>
      <w:keepLines/>
      <w:numPr>
        <w:ilvl w:val="1"/>
        <w:numId w:val="1"/>
      </w:numPr>
      <w:spacing w:line="288" w:lineRule="auto"/>
      <w:ind w:left="567" w:hanging="567" w:firstLineChars="0"/>
      <w:outlineLvl w:val="1"/>
    </w:pPr>
    <w:rPr>
      <w:rFonts w:ascii="Times New Roman" w:hAnsi="Times New Roman" w:cs="Times New Roman"/>
      <w:sz w:val="28"/>
      <w:szCs w:val="32"/>
    </w:rPr>
  </w:style>
  <w:style w:type="paragraph" w:styleId="5">
    <w:name w:val="heading 3"/>
    <w:basedOn w:val="1"/>
    <w:next w:val="6"/>
    <w:link w:val="15"/>
    <w:semiHidden/>
    <w:unhideWhenUsed/>
    <w:qFormat/>
    <w:uiPriority w:val="0"/>
    <w:pPr>
      <w:keepNext/>
      <w:keepLines/>
      <w:numPr>
        <w:ilvl w:val="2"/>
        <w:numId w:val="1"/>
      </w:numPr>
      <w:spacing w:line="264" w:lineRule="auto"/>
      <w:ind w:left="1069" w:hanging="1069" w:firstLineChars="0"/>
      <w:outlineLvl w:val="2"/>
    </w:pPr>
    <w:rPr>
      <w:rFonts w:ascii="Times New Roman" w:hAnsi="Times New Roman"/>
      <w:b/>
      <w:bCs/>
      <w:sz w:val="28"/>
    </w:rPr>
  </w:style>
  <w:style w:type="paragraph" w:styleId="7">
    <w:name w:val="heading 4"/>
    <w:basedOn w:val="1"/>
    <w:next w:val="1"/>
    <w:semiHidden/>
    <w:unhideWhenUsed/>
    <w:qFormat/>
    <w:uiPriority w:val="0"/>
    <w:pPr>
      <w:keepNext/>
      <w:keepLines/>
      <w:numPr>
        <w:ilvl w:val="3"/>
        <w:numId w:val="1"/>
      </w:numPr>
      <w:spacing w:before="20" w:beforeLines="0" w:beforeAutospacing="0" w:after="20" w:afterLines="0" w:afterAutospacing="0" w:line="276" w:lineRule="auto"/>
      <w:ind w:left="1419" w:hanging="851" w:firstLineChars="0"/>
      <w:outlineLvl w:val="3"/>
    </w:pPr>
    <w:rPr>
      <w:rFonts w:ascii="Arial" w:hAnsi="Arial" w:eastAsia="宋体"/>
      <w:sz w:val="28"/>
    </w:rPr>
  </w:style>
  <w:style w:type="paragraph" w:styleId="8">
    <w:name w:val="heading 5"/>
    <w:basedOn w:val="1"/>
    <w:next w:val="1"/>
    <w:semiHidden/>
    <w:unhideWhenUsed/>
    <w:qFormat/>
    <w:uiPriority w:val="0"/>
    <w:pPr>
      <w:keepNext/>
      <w:keepLines/>
      <w:numPr>
        <w:ilvl w:val="4"/>
        <w:numId w:val="1"/>
      </w:numPr>
      <w:spacing w:before="280" w:beforeLines="0" w:beforeAutospacing="0" w:after="290" w:afterLines="0" w:afterAutospacing="0" w:line="372" w:lineRule="auto"/>
      <w:ind w:left="992" w:hanging="992" w:firstLineChars="0"/>
      <w:outlineLvl w:val="4"/>
    </w:pPr>
    <w:rPr>
      <w:b/>
      <w:sz w:val="28"/>
    </w:rPr>
  </w:style>
  <w:style w:type="paragraph" w:styleId="9">
    <w:name w:val="heading 6"/>
    <w:basedOn w:val="1"/>
    <w:next w:val="1"/>
    <w:semiHidden/>
    <w:unhideWhenUsed/>
    <w:qFormat/>
    <w:uiPriority w:val="0"/>
    <w:pPr>
      <w:keepNext/>
      <w:keepLines/>
      <w:numPr>
        <w:ilvl w:val="5"/>
        <w:numId w:val="1"/>
      </w:numPr>
      <w:spacing w:before="240" w:beforeLines="0" w:beforeAutospacing="0" w:after="64" w:afterLines="0" w:afterAutospacing="0" w:line="317" w:lineRule="auto"/>
      <w:ind w:left="1134" w:hanging="1134" w:firstLineChars="0"/>
      <w:outlineLvl w:val="5"/>
    </w:pPr>
    <w:rPr>
      <w:rFonts w:ascii="Arial" w:hAnsi="Arial" w:eastAsia="黑体"/>
      <w:b/>
      <w:sz w:val="24"/>
    </w:rPr>
  </w:style>
  <w:style w:type="character" w:default="1" w:styleId="13">
    <w:name w:val="Default Paragraph Font"/>
    <w:semiHidden/>
    <w:qFormat/>
    <w:uiPriority w:val="0"/>
  </w:style>
  <w:style w:type="table" w:default="1" w:styleId="1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after="120" w:afterLines="0" w:afterAutospacing="0"/>
    </w:pPr>
  </w:style>
  <w:style w:type="paragraph" w:customStyle="1" w:styleId="6">
    <w:name w:val="Indent Normal"/>
    <w:qFormat/>
    <w:uiPriority w:val="0"/>
    <w:pPr>
      <w:widowControl w:val="0"/>
      <w:ind w:firstLine="150" w:firstLineChars="150"/>
      <w:jc w:val="both"/>
    </w:pPr>
    <w:rPr>
      <w:rFonts w:ascii="Times New Roman" w:hAnsi="Times New Roman" w:eastAsia="宋体" w:cs="Times New Roman"/>
      <w:kern w:val="2"/>
      <w:sz w:val="24"/>
      <w:szCs w:val="24"/>
      <w:lang w:val="en-US" w:eastAsia="zh-CN" w:bidi="ar-SA"/>
    </w:rPr>
  </w:style>
  <w:style w:type="paragraph" w:styleId="10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1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14">
    <w:name w:val="Hyperlink"/>
    <w:unhideWhenUsed/>
    <w:qFormat/>
    <w:uiPriority w:val="99"/>
    <w:rPr>
      <w:color w:val="0000FF"/>
      <w:u w:val="single"/>
    </w:rPr>
  </w:style>
  <w:style w:type="character" w:customStyle="1" w:styleId="15">
    <w:name w:val="标题 3 Char"/>
    <w:link w:val="5"/>
    <w:qFormat/>
    <w:uiPriority w:val="9"/>
    <w:rPr>
      <w:rFonts w:ascii="Times New Roman" w:hAnsi="Times New Roman" w:eastAsia="宋体"/>
      <w:b/>
      <w:bCs/>
      <w:kern w:val="2"/>
      <w:sz w:val="28"/>
      <w:szCs w:val="24"/>
    </w:rPr>
  </w:style>
  <w:style w:type="character" w:customStyle="1" w:styleId="16">
    <w:name w:val="标题 2 Char"/>
    <w:link w:val="4"/>
    <w:qFormat/>
    <w:uiPriority w:val="9"/>
    <w:rPr>
      <w:rFonts w:ascii="Times New Roman" w:hAnsi="Times New Roman" w:eastAsia="宋体" w:cs="Times New Roman"/>
      <w:b/>
      <w:bCs/>
      <w:kern w:val="2"/>
      <w:sz w:val="28"/>
      <w:szCs w:val="32"/>
    </w:rPr>
  </w:style>
  <w:style w:type="character" w:customStyle="1" w:styleId="17">
    <w:name w:val="标题 1 Char"/>
    <w:link w:val="3"/>
    <w:qFormat/>
    <w:uiPriority w:val="9"/>
    <w:rPr>
      <w:rFonts w:ascii="Times New Roman" w:hAnsi="Times New Roman" w:eastAsia="宋体"/>
      <w:b/>
      <w:bCs/>
      <w:kern w:val="44"/>
      <w:sz w:val="30"/>
      <w:szCs w:val="28"/>
    </w:rPr>
  </w:style>
  <w:style w:type="paragraph" w:customStyle="1" w:styleId="18">
    <w:name w:val="列出段落2"/>
    <w:basedOn w:val="1"/>
    <w:qFormat/>
    <w:uiPriority w:val="34"/>
  </w:style>
  <w:style w:type="paragraph" w:customStyle="1" w:styleId="19">
    <w:name w:val="1"/>
    <w:basedOn w:val="1"/>
    <w:qFormat/>
    <w:uiPriority w:val="0"/>
    <w:pPr>
      <w:ind w:firstLine="0" w:firstLineChars="0"/>
    </w:pPr>
  </w:style>
  <w:style w:type="paragraph" w:customStyle="1" w:styleId="20">
    <w:name w:val="列出段落1"/>
    <w:basedOn w:val="1"/>
    <w:qFormat/>
    <w:uiPriority w:val="34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9" Type="http://schemas.openxmlformats.org/officeDocument/2006/relationships/fontTable" Target="fontTable.xml"/><Relationship Id="rId58" Type="http://schemas.openxmlformats.org/officeDocument/2006/relationships/numbering" Target="numbering.xml"/><Relationship Id="rId57" Type="http://schemas.openxmlformats.org/officeDocument/2006/relationships/customXml" Target="../customXml/item1.xml"/><Relationship Id="rId56" Type="http://schemas.openxmlformats.org/officeDocument/2006/relationships/image" Target="media/image50.png"/><Relationship Id="rId55" Type="http://schemas.openxmlformats.org/officeDocument/2006/relationships/image" Target="media/image49.png"/><Relationship Id="rId54" Type="http://schemas.openxmlformats.org/officeDocument/2006/relationships/image" Target="media/image48.png"/><Relationship Id="rId53" Type="http://schemas.openxmlformats.org/officeDocument/2006/relationships/image" Target="media/image47.png"/><Relationship Id="rId52" Type="http://schemas.openxmlformats.org/officeDocument/2006/relationships/image" Target="media/image46.png"/><Relationship Id="rId51" Type="http://schemas.openxmlformats.org/officeDocument/2006/relationships/image" Target="media/image45.png"/><Relationship Id="rId50" Type="http://schemas.openxmlformats.org/officeDocument/2006/relationships/image" Target="media/image44.png"/><Relationship Id="rId5" Type="http://schemas.openxmlformats.org/officeDocument/2006/relationships/footer" Target="footer1.xml"/><Relationship Id="rId49" Type="http://schemas.openxmlformats.org/officeDocument/2006/relationships/image" Target="media/image43.png"/><Relationship Id="rId48" Type="http://schemas.openxmlformats.org/officeDocument/2006/relationships/image" Target="media/image42.png"/><Relationship Id="rId47" Type="http://schemas.openxmlformats.org/officeDocument/2006/relationships/image" Target="media/image41.png"/><Relationship Id="rId46" Type="http://schemas.openxmlformats.org/officeDocument/2006/relationships/image" Target="media/image40.png"/><Relationship Id="rId45" Type="http://schemas.openxmlformats.org/officeDocument/2006/relationships/image" Target="media/image39.png"/><Relationship Id="rId44" Type="http://schemas.openxmlformats.org/officeDocument/2006/relationships/image" Target="media/image38.png"/><Relationship Id="rId43" Type="http://schemas.openxmlformats.org/officeDocument/2006/relationships/image" Target="media/image37.png"/><Relationship Id="rId42" Type="http://schemas.openxmlformats.org/officeDocument/2006/relationships/image" Target="media/image36.png"/><Relationship Id="rId41" Type="http://schemas.openxmlformats.org/officeDocument/2006/relationships/image" Target="media/image35.png"/><Relationship Id="rId40" Type="http://schemas.openxmlformats.org/officeDocument/2006/relationships/image" Target="media/image34.png"/><Relationship Id="rId4" Type="http://schemas.openxmlformats.org/officeDocument/2006/relationships/header" Target="header2.xml"/><Relationship Id="rId39" Type="http://schemas.openxmlformats.org/officeDocument/2006/relationships/image" Target="media/image33.png"/><Relationship Id="rId38" Type="http://schemas.openxmlformats.org/officeDocument/2006/relationships/image" Target="media/image32.png"/><Relationship Id="rId37" Type="http://schemas.openxmlformats.org/officeDocument/2006/relationships/image" Target="media/image31.png"/><Relationship Id="rId36" Type="http://schemas.openxmlformats.org/officeDocument/2006/relationships/image" Target="media/image30.png"/><Relationship Id="rId35" Type="http://schemas.openxmlformats.org/officeDocument/2006/relationships/image" Target="media/image29.png"/><Relationship Id="rId34" Type="http://schemas.openxmlformats.org/officeDocument/2006/relationships/image" Target="media/image28.png"/><Relationship Id="rId33" Type="http://schemas.openxmlformats.org/officeDocument/2006/relationships/image" Target="media/image27.png"/><Relationship Id="rId32" Type="http://schemas.openxmlformats.org/officeDocument/2006/relationships/image" Target="media/image26.png"/><Relationship Id="rId31" Type="http://schemas.openxmlformats.org/officeDocument/2006/relationships/image" Target="media/image25.png"/><Relationship Id="rId30" Type="http://schemas.openxmlformats.org/officeDocument/2006/relationships/image" Target="media/image24.png"/><Relationship Id="rId3" Type="http://schemas.openxmlformats.org/officeDocument/2006/relationships/header" Target="header1.xml"/><Relationship Id="rId29" Type="http://schemas.openxmlformats.org/officeDocument/2006/relationships/image" Target="media/image23.pn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93</TotalTime>
  <ScaleCrop>false</ScaleCrop>
  <LinksUpToDate>false</LinksUpToDate>
  <CharactersWithSpaces>0</CharactersWithSpaces>
  <Application>WPS Office_11.1.0.9828_F1E327BC-269C-435d-A152-05C5408002CA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背土豆的小男孩</cp:lastModifiedBy>
  <dcterms:modified xsi:type="dcterms:W3CDTF">2020-08-07T08:01:42Z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